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2349" w14:textId="474F224F" w:rsidR="007B4D5A" w:rsidRPr="007B4D5A" w:rsidRDefault="007B4D5A" w:rsidP="007B4D5A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B4D5A">
        <w:rPr>
          <w:b/>
          <w:bCs/>
          <w:color w:val="0070C0"/>
          <w:sz w:val="28"/>
          <w:szCs w:val="28"/>
          <w:u w:val="single"/>
        </w:rPr>
        <w:t>Préparation de l’emplacement du compteur à l’intérieur du bâtiment</w:t>
      </w:r>
      <w:r>
        <w:rPr>
          <w:b/>
          <w:bCs/>
          <w:color w:val="0070C0"/>
          <w:sz w:val="28"/>
          <w:szCs w:val="28"/>
          <w:u w:val="single"/>
        </w:rPr>
        <w:t> :</w:t>
      </w:r>
    </w:p>
    <w:p w14:paraId="73D39D86" w14:textId="77777777" w:rsidR="007B4D5A" w:rsidRDefault="007B4D5A" w:rsidP="007B4D5A"/>
    <w:p w14:paraId="64538091" w14:textId="695C9FCD" w:rsidR="007B4D5A" w:rsidRPr="007B4D5A" w:rsidRDefault="00073715" w:rsidP="00694DD4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b/>
          <w:bCs/>
          <w:color w:val="C45911" w:themeColor="accent2" w:themeShade="BF"/>
          <w:sz w:val="32"/>
          <w:szCs w:val="32"/>
          <w:u w:val="single"/>
        </w:rPr>
        <w:t>Quel emplacement pour mon</w:t>
      </w:r>
      <w:r w:rsidR="007B4D5A" w:rsidRPr="007B4D5A">
        <w:rPr>
          <w:b/>
          <w:bCs/>
          <w:color w:val="C45911" w:themeColor="accent2" w:themeShade="BF"/>
          <w:sz w:val="32"/>
          <w:szCs w:val="32"/>
          <w:u w:val="single"/>
        </w:rPr>
        <w:t xml:space="preserve"> compteur</w:t>
      </w:r>
    </w:p>
    <w:p w14:paraId="0FC7214B" w14:textId="77777777" w:rsidR="00694DD4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Le choix de l’emplacement de votre compteur est défini par le GRD en concertation avec vous. </w:t>
      </w:r>
    </w:p>
    <w:p w14:paraId="06166257" w14:textId="36F5D3B2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>Celui-ci sera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placé :</w:t>
      </w:r>
    </w:p>
    <w:p w14:paraId="23C76385" w14:textId="781E201F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A</w:t>
      </w:r>
      <w:r w:rsidRPr="007B4D5A">
        <w:rPr>
          <w:sz w:val="24"/>
          <w:szCs w:val="24"/>
        </w:rPr>
        <w:t xml:space="preserve">u rez-de-chaussée du bâtiment, dans le garage ou dans le hall d’entrée </w:t>
      </w:r>
    </w:p>
    <w:p w14:paraId="3341BCD5" w14:textId="79A096C1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L</w:t>
      </w:r>
      <w:r w:rsidRPr="007B4D5A">
        <w:rPr>
          <w:sz w:val="24"/>
          <w:szCs w:val="24"/>
        </w:rPr>
        <w:t xml:space="preserve">e plus près possible de la voirie et à maximum 3 mètres d’une porte donnant sur l’extérieur </w:t>
      </w:r>
    </w:p>
    <w:p w14:paraId="7BF61735" w14:textId="28AB688F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D</w:t>
      </w:r>
      <w:r w:rsidRPr="007B4D5A">
        <w:rPr>
          <w:sz w:val="24"/>
          <w:szCs w:val="24"/>
        </w:rPr>
        <w:t>ans un endroit sec et accessible tant aux techniciens du GRD qu’à l’occupant.</w:t>
      </w:r>
    </w:p>
    <w:p w14:paraId="3B87813F" w14:textId="6869F589" w:rsidR="007B4D5A" w:rsidRPr="007B4D5A" w:rsidRDefault="007B4D5A" w:rsidP="007B4D5A">
      <w:pPr>
        <w:jc w:val="center"/>
        <w:rPr>
          <w:color w:val="FF0000"/>
          <w:sz w:val="24"/>
          <w:szCs w:val="24"/>
        </w:rPr>
      </w:pPr>
      <w:r w:rsidRPr="007B4D5A">
        <w:rPr>
          <w:color w:val="FF0000"/>
          <w:sz w:val="24"/>
          <w:szCs w:val="24"/>
        </w:rPr>
        <w:t>Si la distance entre l’endroit de pénétration du câble dans le bâtiment et la limite du domaine privé est supérieure à 25 mètres, le compteur devra être placé dans un abri</w:t>
      </w:r>
      <w:r>
        <w:rPr>
          <w:color w:val="FF0000"/>
          <w:sz w:val="24"/>
          <w:szCs w:val="24"/>
        </w:rPr>
        <w:t>*</w:t>
      </w:r>
      <w:r w:rsidRPr="007B4D5A">
        <w:rPr>
          <w:color w:val="FF0000"/>
          <w:sz w:val="24"/>
          <w:szCs w:val="24"/>
        </w:rPr>
        <w:t xml:space="preserve"> en limite de propriété.</w:t>
      </w:r>
    </w:p>
    <w:p w14:paraId="587621A8" w14:textId="1C70BE41" w:rsidR="007B4D5A" w:rsidRPr="007B4D5A" w:rsidRDefault="007B4D5A" w:rsidP="007B4D5A">
      <w:pPr>
        <w:rPr>
          <w:b/>
          <w:bCs/>
          <w:sz w:val="24"/>
          <w:szCs w:val="24"/>
          <w:u w:val="single"/>
        </w:rPr>
      </w:pPr>
      <w:r w:rsidRPr="007B4D5A">
        <w:rPr>
          <w:b/>
          <w:bCs/>
          <w:sz w:val="24"/>
          <w:szCs w:val="24"/>
          <w:u w:val="single"/>
        </w:rPr>
        <w:t>L’abri* précité a les caractéristiques suivantes :</w:t>
      </w:r>
    </w:p>
    <w:p w14:paraId="46F606B8" w14:textId="3F930417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Avoir u</w:t>
      </w:r>
      <w:r w:rsidRPr="007B4D5A">
        <w:rPr>
          <w:sz w:val="24"/>
          <w:szCs w:val="24"/>
        </w:rPr>
        <w:t>ne étanchéité et une résistance au choc IP 34, IK 10 ;</w:t>
      </w:r>
    </w:p>
    <w:p w14:paraId="676C8EC4" w14:textId="499C0781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Être</w:t>
      </w:r>
      <w:r w:rsidRPr="007B4D5A">
        <w:rPr>
          <w:sz w:val="24"/>
          <w:szCs w:val="24"/>
        </w:rPr>
        <w:t xml:space="preserve"> inaltérable aux UV et aux agents chimiques ;</w:t>
      </w:r>
    </w:p>
    <w:p w14:paraId="59FC28C7" w14:textId="7050B778" w:rsidR="007B4D5A" w:rsidRPr="007B4D5A" w:rsidRDefault="007B4D5A" w:rsidP="00694DD4">
      <w:pPr>
        <w:ind w:left="142" w:hanging="142"/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L</w:t>
      </w:r>
      <w:r w:rsidRPr="007B4D5A">
        <w:rPr>
          <w:sz w:val="24"/>
          <w:szCs w:val="24"/>
        </w:rPr>
        <w:t xml:space="preserve">es dimensions, déterminées de commun accord avec le distributeur, doivent permettre </w:t>
      </w:r>
      <w:r w:rsidR="00694DD4">
        <w:rPr>
          <w:sz w:val="24"/>
          <w:szCs w:val="24"/>
        </w:rPr>
        <w:t xml:space="preserve">  </w:t>
      </w:r>
      <w:r w:rsidRPr="007B4D5A">
        <w:rPr>
          <w:sz w:val="24"/>
          <w:szCs w:val="24"/>
        </w:rPr>
        <w:t>d'abriter les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équipements de mesure conformes, c-à-d coffret standardisé approprié incluant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obligatoirement le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disjoncteur de raccordement ;</w:t>
      </w:r>
    </w:p>
    <w:p w14:paraId="39B53CE6" w14:textId="5D412F9C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Être a</w:t>
      </w:r>
      <w:r w:rsidRPr="007B4D5A">
        <w:rPr>
          <w:sz w:val="24"/>
          <w:szCs w:val="24"/>
        </w:rPr>
        <w:t>ccessible à tout moment au GRD ;</w:t>
      </w:r>
    </w:p>
    <w:p w14:paraId="78EE1EE4" w14:textId="41F71E8E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N</w:t>
      </w:r>
      <w:r w:rsidRPr="007B4D5A">
        <w:rPr>
          <w:sz w:val="24"/>
          <w:szCs w:val="24"/>
        </w:rPr>
        <w:t>on métallique ;</w:t>
      </w:r>
    </w:p>
    <w:p w14:paraId="6223FAC6" w14:textId="234B4CA7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D</w:t>
      </w:r>
      <w:r w:rsidRPr="007B4D5A">
        <w:rPr>
          <w:sz w:val="24"/>
          <w:szCs w:val="24"/>
        </w:rPr>
        <w:t>e matériel inaltérable conforme aux exigences du GRD ;</w:t>
      </w:r>
    </w:p>
    <w:p w14:paraId="19587824" w14:textId="17CD9F5E" w:rsidR="007B4D5A" w:rsidRPr="007B4D5A" w:rsidRDefault="007B4D5A" w:rsidP="00694DD4">
      <w:pPr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L</w:t>
      </w:r>
      <w:r w:rsidRPr="007B4D5A">
        <w:rPr>
          <w:sz w:val="24"/>
          <w:szCs w:val="24"/>
        </w:rPr>
        <w:t>e GRD détermine si le relevé de l’index doit être possible de l’extérieur de l’abri ou non ;</w:t>
      </w:r>
    </w:p>
    <w:p w14:paraId="7205BA5E" w14:textId="54BEBBEA" w:rsidR="007B4D5A" w:rsidRPr="007B4D5A" w:rsidRDefault="007B4D5A" w:rsidP="00694DD4">
      <w:pPr>
        <w:ind w:left="142" w:hanging="142"/>
        <w:jc w:val="both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694DD4">
        <w:rPr>
          <w:sz w:val="24"/>
          <w:szCs w:val="24"/>
        </w:rPr>
        <w:t>F</w:t>
      </w:r>
      <w:r w:rsidRPr="007B4D5A">
        <w:rPr>
          <w:sz w:val="24"/>
          <w:szCs w:val="24"/>
        </w:rPr>
        <w:t xml:space="preserve">ermeture par clé, suivant les prescriptions du GRD, éventuellement disponible dans </w:t>
      </w:r>
      <w:r w:rsidR="00694DD4" w:rsidRPr="007B4D5A">
        <w:rPr>
          <w:sz w:val="24"/>
          <w:szCs w:val="24"/>
        </w:rPr>
        <w:t xml:space="preserve">une </w:t>
      </w:r>
      <w:r w:rsidR="00694DD4">
        <w:rPr>
          <w:sz w:val="24"/>
          <w:szCs w:val="24"/>
        </w:rPr>
        <w:t>boîte</w:t>
      </w:r>
      <w:r w:rsidRPr="007B4D5A">
        <w:rPr>
          <w:sz w:val="24"/>
          <w:szCs w:val="24"/>
        </w:rPr>
        <w:t xml:space="preserve"> à clé.</w:t>
      </w:r>
    </w:p>
    <w:p w14:paraId="30DC0E30" w14:textId="744D2885" w:rsidR="007B4D5A" w:rsidRPr="007B4D5A" w:rsidRDefault="007B4D5A" w:rsidP="00EB1962">
      <w:pPr>
        <w:jc w:val="center"/>
        <w:rPr>
          <w:sz w:val="24"/>
          <w:szCs w:val="24"/>
        </w:rPr>
      </w:pPr>
    </w:p>
    <w:p w14:paraId="7D9F321D" w14:textId="6094A974" w:rsidR="007B4D5A" w:rsidRPr="007B4D5A" w:rsidRDefault="007B4D5A" w:rsidP="007B4D5A">
      <w:pPr>
        <w:jc w:val="center"/>
        <w:rPr>
          <w:color w:val="FF0000"/>
          <w:sz w:val="24"/>
          <w:szCs w:val="24"/>
        </w:rPr>
      </w:pPr>
      <w:r w:rsidRPr="007B4D5A">
        <w:rPr>
          <w:color w:val="FF0000"/>
          <w:sz w:val="24"/>
          <w:szCs w:val="24"/>
        </w:rPr>
        <w:t>La pose du compteur dans le bâtiment ne pourra se faire que si le bâtiment est fermé ou, à défaut, si une armoire aux dimensions adaptées fermée et étanche est mise à disposition.</w:t>
      </w:r>
    </w:p>
    <w:p w14:paraId="2BB83FB1" w14:textId="30EE1765" w:rsidR="00DA7A4D" w:rsidRDefault="00DA7A4D" w:rsidP="007B4D5A">
      <w:pPr>
        <w:rPr>
          <w:b/>
          <w:bCs/>
          <w:color w:val="C45911" w:themeColor="accent2" w:themeShade="BF"/>
          <w:sz w:val="32"/>
          <w:szCs w:val="32"/>
          <w:u w:val="single"/>
        </w:rPr>
      </w:pPr>
    </w:p>
    <w:p w14:paraId="39045C7A" w14:textId="775C858A" w:rsidR="00EB1962" w:rsidRDefault="00EB1962" w:rsidP="007B4D5A">
      <w:pPr>
        <w:rPr>
          <w:b/>
          <w:bCs/>
          <w:color w:val="C45911" w:themeColor="accent2" w:themeShade="BF"/>
          <w:sz w:val="32"/>
          <w:szCs w:val="32"/>
          <w:u w:val="single"/>
        </w:rPr>
      </w:pPr>
    </w:p>
    <w:p w14:paraId="337BFB71" w14:textId="3669DEB7" w:rsidR="00EB1962" w:rsidRDefault="00EB1962" w:rsidP="007B4D5A">
      <w:pPr>
        <w:rPr>
          <w:b/>
          <w:bCs/>
          <w:color w:val="C45911" w:themeColor="accent2" w:themeShade="BF"/>
          <w:sz w:val="32"/>
          <w:szCs w:val="32"/>
          <w:u w:val="single"/>
        </w:rPr>
      </w:pPr>
    </w:p>
    <w:p w14:paraId="1691E2F5" w14:textId="77777777" w:rsidR="00EB1962" w:rsidRDefault="00EB1962" w:rsidP="007B4D5A">
      <w:pPr>
        <w:rPr>
          <w:b/>
          <w:bCs/>
          <w:color w:val="C45911" w:themeColor="accent2" w:themeShade="BF"/>
          <w:sz w:val="32"/>
          <w:szCs w:val="32"/>
          <w:u w:val="single"/>
        </w:rPr>
      </w:pPr>
    </w:p>
    <w:p w14:paraId="5F5288CE" w14:textId="5891B7FD" w:rsidR="007B4D5A" w:rsidRPr="007B4D5A" w:rsidRDefault="007B4D5A" w:rsidP="00694DD4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 w:rsidRPr="007B4D5A">
        <w:rPr>
          <w:b/>
          <w:bCs/>
          <w:color w:val="C45911" w:themeColor="accent2" w:themeShade="BF"/>
          <w:sz w:val="32"/>
          <w:szCs w:val="32"/>
          <w:u w:val="single"/>
        </w:rPr>
        <w:lastRenderedPageBreak/>
        <w:t>Placement du coffret 25</w:t>
      </w:r>
      <w:r w:rsidR="001423D0">
        <w:rPr>
          <w:b/>
          <w:bCs/>
          <w:color w:val="C45911" w:themeColor="accent2" w:themeShade="BF"/>
          <w:sz w:val="32"/>
          <w:szCs w:val="32"/>
          <w:u w:val="single"/>
        </w:rPr>
        <w:t>D</w:t>
      </w:r>
      <w:r w:rsidRPr="007B4D5A">
        <w:rPr>
          <w:b/>
          <w:bCs/>
          <w:color w:val="C45911" w:themeColor="accent2" w:themeShade="BF"/>
          <w:sz w:val="32"/>
          <w:szCs w:val="32"/>
          <w:u w:val="single"/>
        </w:rPr>
        <w:t>60</w:t>
      </w:r>
    </w:p>
    <w:p w14:paraId="2C54FAA1" w14:textId="21505E97" w:rsid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Le coffret standard à utiliser pour ce type de compteur s’appelle « coffret 25</w:t>
      </w:r>
      <w:r w:rsidR="001D2970">
        <w:rPr>
          <w:sz w:val="24"/>
          <w:szCs w:val="24"/>
        </w:rPr>
        <w:t>D</w:t>
      </w:r>
      <w:r w:rsidRPr="007B4D5A">
        <w:rPr>
          <w:sz w:val="24"/>
          <w:szCs w:val="24"/>
        </w:rPr>
        <w:t>60 », en référence à ses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dimensions de 25 cm de large sur 60 cm de haut. Vous pourrez vous le procurer facilement chez un revendeur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de matériel électrique. Le coffret est composé d’un fond gris, d’un couvercle transparent et d’un interrupteur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de 125A.</w:t>
      </w:r>
    </w:p>
    <w:p w14:paraId="596A2BEF" w14:textId="57BB70D7" w:rsidR="00694DD4" w:rsidRPr="007B4D5A" w:rsidRDefault="00694DD4" w:rsidP="00694DD4">
      <w:pPr>
        <w:jc w:val="center"/>
        <w:rPr>
          <w:sz w:val="24"/>
          <w:szCs w:val="24"/>
        </w:rPr>
      </w:pPr>
      <w:r>
        <w:rPr>
          <w:b/>
          <w:bCs/>
          <w:noProof/>
          <w:color w:val="0070C0"/>
          <w:sz w:val="28"/>
          <w:szCs w:val="28"/>
          <w:u w:val="single"/>
        </w:rPr>
        <w:drawing>
          <wp:inline distT="0" distB="0" distL="0" distR="0" wp14:anchorId="4E369563" wp14:editId="775E4CB7">
            <wp:extent cx="4238118" cy="3781425"/>
            <wp:effectExtent l="0" t="0" r="0" b="0"/>
            <wp:docPr id="3162686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44" cy="37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FC92E" w14:textId="77777777" w:rsidR="007B4D5A" w:rsidRPr="007B4D5A" w:rsidRDefault="007B4D5A" w:rsidP="007B4D5A">
      <w:pPr>
        <w:rPr>
          <w:b/>
          <w:bCs/>
          <w:sz w:val="24"/>
          <w:szCs w:val="24"/>
          <w:u w:val="single"/>
        </w:rPr>
      </w:pPr>
      <w:r w:rsidRPr="007B4D5A">
        <w:rPr>
          <w:b/>
          <w:bCs/>
          <w:sz w:val="24"/>
          <w:szCs w:val="24"/>
          <w:u w:val="single"/>
        </w:rPr>
        <w:t>Le coffret doit être installé dans un endroit approuvé par le GRD ;</w:t>
      </w:r>
    </w:p>
    <w:p w14:paraId="0575C9A0" w14:textId="2986A57C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•</w:t>
      </w:r>
      <w:r w:rsidR="00DA7A4D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Il ne peut se trouver au-dessus d’un compteur gaz ou en dessous d’une installation d’eau ;</w:t>
      </w:r>
    </w:p>
    <w:p w14:paraId="1C24B0BA" w14:textId="62741869" w:rsidR="007B4D5A" w:rsidRPr="007B4D5A" w:rsidRDefault="007B4D5A" w:rsidP="00DA7A4D">
      <w:pPr>
        <w:ind w:left="142" w:hanging="142"/>
        <w:rPr>
          <w:sz w:val="24"/>
          <w:szCs w:val="24"/>
        </w:rPr>
      </w:pPr>
      <w:r w:rsidRPr="007B4D5A">
        <w:rPr>
          <w:sz w:val="24"/>
          <w:szCs w:val="24"/>
        </w:rPr>
        <w:t xml:space="preserve">• </w:t>
      </w:r>
      <w:r w:rsidR="00DA7A4D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 xml:space="preserve">Le bas du coffret doit se trouver à une hauteur comprise entre 1 mètre et 1,2 mètre du sol </w:t>
      </w:r>
      <w:r w:rsidR="00DA7A4D">
        <w:rPr>
          <w:sz w:val="24"/>
          <w:szCs w:val="24"/>
        </w:rPr>
        <w:t xml:space="preserve">      </w:t>
      </w:r>
      <w:r w:rsidRPr="007B4D5A">
        <w:rPr>
          <w:sz w:val="24"/>
          <w:szCs w:val="24"/>
        </w:rPr>
        <w:t>fini et le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local doit avoir une hauteur de 2 mètres minimum ;</w:t>
      </w:r>
    </w:p>
    <w:p w14:paraId="469C95C7" w14:textId="77777777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• Il doit être fixé sur une surface plane et rigide ;</w:t>
      </w:r>
    </w:p>
    <w:p w14:paraId="062EB5F7" w14:textId="3D0BFDEC" w:rsidR="007B4D5A" w:rsidRPr="007B4D5A" w:rsidRDefault="007B4D5A" w:rsidP="00DA7A4D">
      <w:pPr>
        <w:ind w:left="142" w:hanging="142"/>
        <w:rPr>
          <w:sz w:val="24"/>
          <w:szCs w:val="24"/>
        </w:rPr>
      </w:pPr>
      <w:r w:rsidRPr="007B4D5A">
        <w:rPr>
          <w:sz w:val="24"/>
          <w:szCs w:val="24"/>
        </w:rPr>
        <w:t xml:space="preserve">• Le mot « TOP » inscrit dans le coffret doit se trouver en haut afin que le coffret soit placé </w:t>
      </w:r>
      <w:r w:rsidR="00DA7A4D">
        <w:rPr>
          <w:sz w:val="24"/>
          <w:szCs w:val="24"/>
        </w:rPr>
        <w:t xml:space="preserve">  </w:t>
      </w:r>
      <w:r w:rsidRPr="007B4D5A">
        <w:rPr>
          <w:sz w:val="24"/>
          <w:szCs w:val="24"/>
        </w:rPr>
        <w:t>dans le bon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sens ;</w:t>
      </w:r>
    </w:p>
    <w:p w14:paraId="4804A31D" w14:textId="0FFCA298" w:rsidR="00EB1962" w:rsidRPr="00694DD4" w:rsidRDefault="007B4D5A" w:rsidP="00694DD4">
      <w:pPr>
        <w:ind w:left="142" w:hanging="142"/>
        <w:rPr>
          <w:sz w:val="24"/>
          <w:szCs w:val="24"/>
        </w:rPr>
      </w:pPr>
      <w:r w:rsidRPr="007B4D5A">
        <w:rPr>
          <w:sz w:val="24"/>
          <w:szCs w:val="24"/>
        </w:rPr>
        <w:t>• Un espace de 80 cm minimum doit rester libre devant le coffret. Une profondeur de 25 cm est à prévoir</w:t>
      </w:r>
      <w:r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pour l’épaisseur du coffret</w:t>
      </w:r>
      <w:r w:rsidR="00694DD4">
        <w:rPr>
          <w:sz w:val="24"/>
          <w:szCs w:val="24"/>
        </w:rPr>
        <w:t> ;</w:t>
      </w:r>
    </w:p>
    <w:p w14:paraId="4EA11FD3" w14:textId="1806E770" w:rsidR="00EB1962" w:rsidRDefault="00EB1962" w:rsidP="00EB1962">
      <w:pPr>
        <w:ind w:left="-993"/>
        <w:rPr>
          <w:noProof/>
          <w:sz w:val="24"/>
          <w:szCs w:val="24"/>
        </w:rPr>
      </w:pPr>
    </w:p>
    <w:p w14:paraId="28187A8A" w14:textId="77777777" w:rsidR="00694DD4" w:rsidRDefault="00694DD4" w:rsidP="00EB1962">
      <w:pPr>
        <w:ind w:left="-993"/>
        <w:rPr>
          <w:noProof/>
          <w:sz w:val="24"/>
          <w:szCs w:val="24"/>
        </w:rPr>
      </w:pPr>
    </w:p>
    <w:p w14:paraId="0443ADCC" w14:textId="77777777" w:rsidR="00694DD4" w:rsidRDefault="00694DD4" w:rsidP="00EB1962">
      <w:pPr>
        <w:ind w:left="-993"/>
        <w:rPr>
          <w:noProof/>
          <w:sz w:val="24"/>
          <w:szCs w:val="24"/>
        </w:rPr>
      </w:pPr>
    </w:p>
    <w:p w14:paraId="474D353D" w14:textId="77777777" w:rsidR="00694DD4" w:rsidRDefault="00694DD4" w:rsidP="00EB1962">
      <w:pPr>
        <w:ind w:left="-993"/>
        <w:rPr>
          <w:noProof/>
          <w:sz w:val="24"/>
          <w:szCs w:val="24"/>
        </w:rPr>
      </w:pPr>
    </w:p>
    <w:p w14:paraId="1FF4B90E" w14:textId="59FF6C97" w:rsidR="00DA7A4D" w:rsidRDefault="00EB1962" w:rsidP="00694DD4">
      <w:pPr>
        <w:jc w:val="center"/>
        <w:rPr>
          <w:sz w:val="24"/>
          <w:szCs w:val="24"/>
        </w:rPr>
      </w:pPr>
      <w:r>
        <w:rPr>
          <w:b/>
          <w:bCs/>
          <w:color w:val="C45911" w:themeColor="accent2" w:themeShade="BF"/>
          <w:sz w:val="32"/>
          <w:szCs w:val="32"/>
          <w:u w:val="single"/>
        </w:rPr>
        <w:lastRenderedPageBreak/>
        <w:t>E</w:t>
      </w:r>
      <w:r w:rsidR="007B4D5A" w:rsidRPr="007B4D5A">
        <w:rPr>
          <w:b/>
          <w:bCs/>
          <w:color w:val="C45911" w:themeColor="accent2" w:themeShade="BF"/>
          <w:sz w:val="32"/>
          <w:szCs w:val="32"/>
          <w:u w:val="single"/>
        </w:rPr>
        <w:t>quipement intérieur du coffret 25</w:t>
      </w:r>
      <w:r w:rsidR="001D2970">
        <w:rPr>
          <w:b/>
          <w:bCs/>
          <w:color w:val="C45911" w:themeColor="accent2" w:themeShade="BF"/>
          <w:sz w:val="32"/>
          <w:szCs w:val="32"/>
          <w:u w:val="single"/>
        </w:rPr>
        <w:t>D</w:t>
      </w:r>
      <w:r w:rsidR="007B4D5A" w:rsidRPr="007B4D5A">
        <w:rPr>
          <w:b/>
          <w:bCs/>
          <w:color w:val="C45911" w:themeColor="accent2" w:themeShade="BF"/>
          <w:sz w:val="32"/>
          <w:szCs w:val="32"/>
          <w:u w:val="single"/>
        </w:rPr>
        <w:t>60</w:t>
      </w:r>
    </w:p>
    <w:p w14:paraId="507E3E81" w14:textId="22F1591F" w:rsidR="00DA7A4D" w:rsidRDefault="00DA7A4D" w:rsidP="00DA7A4D">
      <w:pPr>
        <w:rPr>
          <w:sz w:val="24"/>
          <w:szCs w:val="24"/>
        </w:rPr>
      </w:pPr>
      <w:r w:rsidRPr="00DA7A4D">
        <w:rPr>
          <w:sz w:val="24"/>
          <w:szCs w:val="24"/>
        </w:rPr>
        <w:t xml:space="preserve">Une fois </w:t>
      </w:r>
      <w:r w:rsidRPr="007B4D5A">
        <w:rPr>
          <w:sz w:val="24"/>
          <w:szCs w:val="24"/>
        </w:rPr>
        <w:t>le coffret placé, il doit être équipé d’une série d’éléments complémentaires qui permettront au GRD d’alimenter votre installation intérieure en fonction de vos besoins et en toute sécurité.</w:t>
      </w:r>
    </w:p>
    <w:p w14:paraId="24F826DC" w14:textId="2F420906" w:rsidR="00694DD4" w:rsidRDefault="00694DD4" w:rsidP="00694DD4">
      <w:pPr>
        <w:jc w:val="center"/>
        <w:rPr>
          <w:sz w:val="24"/>
          <w:szCs w:val="24"/>
        </w:rPr>
      </w:pPr>
      <w:r w:rsidRPr="00073A10">
        <w:rPr>
          <w:noProof/>
          <w:sz w:val="24"/>
          <w:szCs w:val="24"/>
        </w:rPr>
        <w:drawing>
          <wp:inline distT="0" distB="0" distL="0" distR="0" wp14:anchorId="1360EE05" wp14:editId="630027E2">
            <wp:extent cx="3609975" cy="4259389"/>
            <wp:effectExtent l="0" t="0" r="0" b="8255"/>
            <wp:docPr id="13439605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605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7102" cy="43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7503" w14:textId="011337EF" w:rsidR="007B4D5A" w:rsidRPr="007B4D5A" w:rsidRDefault="007B4D5A" w:rsidP="00073715">
      <w:pPr>
        <w:ind w:left="142" w:hanging="142"/>
        <w:rPr>
          <w:sz w:val="24"/>
          <w:szCs w:val="24"/>
        </w:rPr>
      </w:pPr>
      <w:r w:rsidRPr="007B4D5A">
        <w:rPr>
          <w:sz w:val="24"/>
          <w:szCs w:val="24"/>
        </w:rPr>
        <w:t xml:space="preserve">• L’interrupteur de 125 ampères est fourni et placé dans le coffret. Il s’agit d’un </w:t>
      </w:r>
      <w:r w:rsidR="00073715" w:rsidRPr="007B4D5A">
        <w:rPr>
          <w:sz w:val="24"/>
          <w:szCs w:val="24"/>
        </w:rPr>
        <w:t xml:space="preserve">interrupteur </w:t>
      </w:r>
      <w:r w:rsidR="00073715">
        <w:rPr>
          <w:sz w:val="24"/>
          <w:szCs w:val="24"/>
        </w:rPr>
        <w:t>d’alimentation</w:t>
      </w:r>
      <w:r w:rsidRPr="007B4D5A">
        <w:rPr>
          <w:sz w:val="24"/>
          <w:szCs w:val="24"/>
        </w:rPr>
        <w:t xml:space="preserve"> de l’installation.</w:t>
      </w:r>
    </w:p>
    <w:p w14:paraId="5955B92C" w14:textId="1C4C3C00" w:rsidR="007B4D5A" w:rsidRPr="007B4D5A" w:rsidRDefault="007B4D5A" w:rsidP="00073715">
      <w:pPr>
        <w:ind w:left="142" w:hanging="142"/>
        <w:rPr>
          <w:sz w:val="24"/>
          <w:szCs w:val="24"/>
        </w:rPr>
      </w:pPr>
      <w:r w:rsidRPr="007B4D5A">
        <w:rPr>
          <w:sz w:val="24"/>
          <w:szCs w:val="24"/>
        </w:rPr>
        <w:t>• Le câble de liaison, qui relie le compteur au coffret divisionnaire, doit être introduit dans le coffret 25</w:t>
      </w:r>
      <w:r w:rsidR="001D2970">
        <w:rPr>
          <w:sz w:val="24"/>
          <w:szCs w:val="24"/>
        </w:rPr>
        <w:t>D</w:t>
      </w:r>
      <w:r w:rsidRPr="007B4D5A">
        <w:rPr>
          <w:sz w:val="24"/>
          <w:szCs w:val="24"/>
        </w:rPr>
        <w:t>60 au travers d’une entrée de câble et d’un support anti-traction. Il doit être de type XVB ou XGB et de section adaptée à la puissance demandée (4x10² minimum), hors multibrins souple et sans fil de terre.</w:t>
      </w:r>
    </w:p>
    <w:p w14:paraId="48ADB8F5" w14:textId="77777777" w:rsidR="007B4D5A" w:rsidRPr="00073715" w:rsidRDefault="007B4D5A" w:rsidP="007B4D5A">
      <w:pPr>
        <w:rPr>
          <w:b/>
          <w:bCs/>
          <w:sz w:val="24"/>
          <w:szCs w:val="24"/>
          <w:u w:val="single"/>
        </w:rPr>
      </w:pPr>
      <w:r w:rsidRPr="00073715">
        <w:rPr>
          <w:b/>
          <w:bCs/>
          <w:sz w:val="24"/>
          <w:szCs w:val="24"/>
          <w:u w:val="single"/>
        </w:rPr>
        <w:t>Il faut prévoir une longueur libre dégainée de 80 cm, fils non dénudés, dans le coffret, en respectant le code de couleurs suivant dans le coffret divisionnaire :</w:t>
      </w:r>
    </w:p>
    <w:p w14:paraId="4B9D5F07" w14:textId="77777777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• Raccordement monophasé : brun - bleu</w:t>
      </w:r>
    </w:p>
    <w:p w14:paraId="415E8DC0" w14:textId="42896AA0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• Raccordement triphasé 3 x 230 V : brun - noir - gris</w:t>
      </w:r>
    </w:p>
    <w:p w14:paraId="6370D12B" w14:textId="77777777" w:rsid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• Raccordement triphasé 3 x 400 V + N : brun - noir - gris – bleu</w:t>
      </w:r>
    </w:p>
    <w:p w14:paraId="649A3C93" w14:textId="77777777" w:rsidR="00C93D88" w:rsidRDefault="00C93D88" w:rsidP="007B4D5A">
      <w:pPr>
        <w:rPr>
          <w:sz w:val="24"/>
          <w:szCs w:val="24"/>
        </w:rPr>
      </w:pPr>
    </w:p>
    <w:p w14:paraId="02D900C6" w14:textId="77777777" w:rsidR="00694DD4" w:rsidRPr="007B4D5A" w:rsidRDefault="00694DD4" w:rsidP="007B4D5A">
      <w:pPr>
        <w:rPr>
          <w:sz w:val="24"/>
          <w:szCs w:val="24"/>
        </w:rPr>
      </w:pPr>
    </w:p>
    <w:p w14:paraId="2E03344C" w14:textId="569CBB58" w:rsidR="007B4D5A" w:rsidRPr="007B4D5A" w:rsidRDefault="00073715" w:rsidP="00694DD4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b/>
          <w:bCs/>
          <w:color w:val="C45911" w:themeColor="accent2" w:themeShade="BF"/>
          <w:sz w:val="32"/>
          <w:szCs w:val="32"/>
          <w:u w:val="single"/>
        </w:rPr>
        <w:lastRenderedPageBreak/>
        <w:t xml:space="preserve">A l’intérieur de mon </w:t>
      </w:r>
      <w:r w:rsidR="007B4D5A" w:rsidRPr="007B4D5A">
        <w:rPr>
          <w:b/>
          <w:bCs/>
          <w:color w:val="C45911" w:themeColor="accent2" w:themeShade="BF"/>
          <w:sz w:val="32"/>
          <w:szCs w:val="32"/>
          <w:u w:val="single"/>
        </w:rPr>
        <w:t>installation</w:t>
      </w:r>
    </w:p>
    <w:p w14:paraId="555DD066" w14:textId="4140A749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Votre installation intérieure doit respecter les règlementations en vigueur. Vous pouvez la réaliser vous-même</w:t>
      </w:r>
      <w:r w:rsidR="00073715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ou faire appel à un professionnel.</w:t>
      </w:r>
    </w:p>
    <w:p w14:paraId="1A445186" w14:textId="0CAEE63E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Le Règlement Général sur les Installations Electriques, disponible notamment sur le site des principaux</w:t>
      </w:r>
      <w:r w:rsidR="00073715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organismes agréés de contrôle, vous renseignera sur les éléments qui régissent les installations électriques.</w:t>
      </w:r>
    </w:p>
    <w:p w14:paraId="51475AC6" w14:textId="4708565D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L’installation triphasée 3x230 V doit être conçue de manière à pouvoir être alimentée en 3x400 V</w:t>
      </w:r>
      <w:r w:rsidR="00073715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+</w:t>
      </w:r>
      <w:r w:rsidR="00073715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neutre</w:t>
      </w:r>
      <w:r w:rsidR="00073715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moyennant une adaptation du coffret divisionnaire et des prises triphasées.</w:t>
      </w:r>
    </w:p>
    <w:p w14:paraId="3972355F" w14:textId="77777777" w:rsidR="007B4D5A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Le RGIE interdit les borniers intermédiaires entre le compteur et le différentiel protégeant l’installation.</w:t>
      </w:r>
    </w:p>
    <w:p w14:paraId="6D765660" w14:textId="6B2F1129" w:rsidR="007B4D5A" w:rsidRPr="007B4D5A" w:rsidRDefault="00073715" w:rsidP="00694DD4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b/>
          <w:bCs/>
          <w:color w:val="C45911" w:themeColor="accent2" w:themeShade="BF"/>
          <w:sz w:val="32"/>
          <w:szCs w:val="32"/>
          <w:u w:val="single"/>
        </w:rPr>
        <w:t>Quid de l’AIEG ?</w:t>
      </w:r>
    </w:p>
    <w:p w14:paraId="2BBDFC5F" w14:textId="18693AFB" w:rsidR="009148E6" w:rsidRPr="007B4D5A" w:rsidRDefault="007B4D5A" w:rsidP="007B4D5A">
      <w:pPr>
        <w:rPr>
          <w:sz w:val="24"/>
          <w:szCs w:val="24"/>
        </w:rPr>
      </w:pPr>
      <w:r w:rsidRPr="007B4D5A">
        <w:rPr>
          <w:sz w:val="24"/>
          <w:szCs w:val="24"/>
        </w:rPr>
        <w:t>Nos agents viendront placer le compteur dans la partie centrale du coffret 25</w:t>
      </w:r>
      <w:r w:rsidR="001D2970">
        <w:rPr>
          <w:sz w:val="24"/>
          <w:szCs w:val="24"/>
        </w:rPr>
        <w:t>D</w:t>
      </w:r>
      <w:r w:rsidRPr="007B4D5A">
        <w:rPr>
          <w:sz w:val="24"/>
          <w:szCs w:val="24"/>
        </w:rPr>
        <w:t>60. Nous effectuerons également</w:t>
      </w:r>
      <w:r w:rsidR="00073715">
        <w:rPr>
          <w:sz w:val="24"/>
          <w:szCs w:val="24"/>
        </w:rPr>
        <w:t xml:space="preserve"> </w:t>
      </w:r>
      <w:r w:rsidRPr="007B4D5A">
        <w:rPr>
          <w:sz w:val="24"/>
          <w:szCs w:val="24"/>
        </w:rPr>
        <w:t>la connexion du câble de liaison que vous aurez préparés.</w:t>
      </w:r>
    </w:p>
    <w:sectPr w:rsidR="009148E6" w:rsidRPr="007B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5A"/>
    <w:rsid w:val="00073715"/>
    <w:rsid w:val="00073A10"/>
    <w:rsid w:val="00113CEF"/>
    <w:rsid w:val="001423D0"/>
    <w:rsid w:val="001C1FD9"/>
    <w:rsid w:val="001D2970"/>
    <w:rsid w:val="00694DD4"/>
    <w:rsid w:val="007B4D5A"/>
    <w:rsid w:val="007C31CC"/>
    <w:rsid w:val="007E28A8"/>
    <w:rsid w:val="009148E6"/>
    <w:rsid w:val="00C93D88"/>
    <w:rsid w:val="00CC682C"/>
    <w:rsid w:val="00DA7A4D"/>
    <w:rsid w:val="00EB1962"/>
    <w:rsid w:val="00EF5BE7"/>
    <w:rsid w:val="00F6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064D"/>
  <w15:chartTrackingRefBased/>
  <w15:docId w15:val="{637FE43C-7B58-48A9-9EF8-6C66D00E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683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Trovato</dc:creator>
  <cp:keywords/>
  <dc:description/>
  <cp:lastModifiedBy>Adriano Trovato</cp:lastModifiedBy>
  <cp:revision>14</cp:revision>
  <dcterms:created xsi:type="dcterms:W3CDTF">2023-01-24T12:36:00Z</dcterms:created>
  <dcterms:modified xsi:type="dcterms:W3CDTF">2026-03-04T10:47:00Z</dcterms:modified>
</cp:coreProperties>
</file>