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C6887" w14:textId="77777777" w:rsidR="00E402C6" w:rsidRPr="00727C90" w:rsidRDefault="00E402C6" w:rsidP="00E402C6">
      <w:pPr>
        <w:rPr>
          <w:rFonts w:ascii="Verdana" w:hAnsi="Verdana"/>
        </w:rPr>
      </w:pPr>
    </w:p>
    <w:p w14:paraId="3B32F130" w14:textId="77777777" w:rsidR="00E402C6" w:rsidRPr="00727C90" w:rsidRDefault="00E402C6" w:rsidP="00E402C6">
      <w:pPr>
        <w:rPr>
          <w:rFonts w:ascii="Verdana" w:hAnsi="Verdan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E402C6" w:rsidRPr="00727C90" w14:paraId="50FEECB0" w14:textId="77777777" w:rsidTr="00F421B1">
        <w:tc>
          <w:tcPr>
            <w:tcW w:w="9212" w:type="dxa"/>
          </w:tcPr>
          <w:p w14:paraId="2C5B98BA" w14:textId="77777777" w:rsidR="00E402C6" w:rsidRPr="00727C90" w:rsidRDefault="00E402C6" w:rsidP="00F421B1">
            <w:pPr>
              <w:jc w:val="center"/>
              <w:rPr>
                <w:rFonts w:ascii="Verdana" w:hAnsi="Verdana"/>
              </w:rPr>
            </w:pPr>
            <w:r w:rsidRPr="00727C90">
              <w:rPr>
                <w:rFonts w:ascii="Verdana" w:hAnsi="Verdana"/>
                <w:noProof/>
                <w:lang w:eastAsia="fr-BE"/>
              </w:rPr>
              <w:drawing>
                <wp:anchor distT="0" distB="0" distL="114300" distR="114300" simplePos="0" relativeHeight="251659264" behindDoc="1" locked="0" layoutInCell="1" allowOverlap="1" wp14:anchorId="73C824B5" wp14:editId="6035365A">
                  <wp:simplePos x="0" y="0"/>
                  <wp:positionH relativeFrom="column">
                    <wp:posOffset>1565275</wp:posOffset>
                  </wp:positionH>
                  <wp:positionV relativeFrom="paragraph">
                    <wp:posOffset>6350</wp:posOffset>
                  </wp:positionV>
                  <wp:extent cx="2442210" cy="2301240"/>
                  <wp:effectExtent l="19050" t="0" r="0" b="0"/>
                  <wp:wrapTight wrapText="bothSides">
                    <wp:wrapPolygon edited="0">
                      <wp:start x="13310" y="0"/>
                      <wp:lineTo x="10615" y="358"/>
                      <wp:lineTo x="9098" y="1430"/>
                      <wp:lineTo x="9098" y="2861"/>
                      <wp:lineTo x="-168" y="21457"/>
                      <wp:lineTo x="21566" y="21457"/>
                      <wp:lineTo x="21566" y="21099"/>
                      <wp:lineTo x="21061" y="20026"/>
                      <wp:lineTo x="13984" y="5722"/>
                      <wp:lineTo x="14490" y="2861"/>
                      <wp:lineTo x="15164" y="358"/>
                      <wp:lineTo x="15164" y="0"/>
                      <wp:lineTo x="1331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42210" cy="2301240"/>
                          </a:xfrm>
                          <a:prstGeom prst="rect">
                            <a:avLst/>
                          </a:prstGeom>
                          <a:noFill/>
                        </pic:spPr>
                      </pic:pic>
                    </a:graphicData>
                  </a:graphic>
                </wp:anchor>
              </w:drawing>
            </w:r>
          </w:p>
        </w:tc>
      </w:tr>
      <w:tr w:rsidR="00E402C6" w:rsidRPr="00727C90" w14:paraId="2D3D8E34" w14:textId="77777777" w:rsidTr="00F421B1">
        <w:tc>
          <w:tcPr>
            <w:tcW w:w="9212" w:type="dxa"/>
          </w:tcPr>
          <w:p w14:paraId="5ECB02F6" w14:textId="77777777" w:rsidR="00E402C6" w:rsidRPr="00727C90" w:rsidRDefault="00E402C6" w:rsidP="00F421B1">
            <w:pPr>
              <w:rPr>
                <w:rFonts w:ascii="Verdana" w:hAnsi="Verdana"/>
              </w:rPr>
            </w:pPr>
          </w:p>
        </w:tc>
      </w:tr>
      <w:tr w:rsidR="00E402C6" w:rsidRPr="00727C90" w14:paraId="064FA1D9" w14:textId="77777777" w:rsidTr="00F421B1">
        <w:tc>
          <w:tcPr>
            <w:tcW w:w="9212" w:type="dxa"/>
          </w:tcPr>
          <w:p w14:paraId="2D853DE1" w14:textId="77777777" w:rsidR="00E402C6" w:rsidRPr="00727C90" w:rsidRDefault="00E402C6" w:rsidP="00F421B1">
            <w:pPr>
              <w:pStyle w:val="Retraitcorpsdetexte3"/>
              <w:spacing w:before="0" w:after="0"/>
              <w:ind w:firstLine="0"/>
              <w:jc w:val="center"/>
              <w:rPr>
                <w:rFonts w:ascii="Verdana" w:hAnsi="Verdana"/>
                <w:b/>
                <w:sz w:val="32"/>
                <w:szCs w:val="32"/>
              </w:rPr>
            </w:pPr>
            <w:r w:rsidRPr="00727C90">
              <w:rPr>
                <w:rFonts w:ascii="Verdana" w:hAnsi="Verdana"/>
                <w:b/>
                <w:sz w:val="32"/>
                <w:szCs w:val="32"/>
              </w:rPr>
              <w:t>AIEG</w:t>
            </w:r>
          </w:p>
          <w:p w14:paraId="6BA3A42C" w14:textId="77777777" w:rsidR="00E402C6" w:rsidRPr="00727C90" w:rsidRDefault="00E402C6" w:rsidP="00F421B1">
            <w:pPr>
              <w:pStyle w:val="Retraitcorpsdetexte3"/>
              <w:spacing w:before="0" w:after="0"/>
              <w:ind w:firstLine="0"/>
              <w:jc w:val="center"/>
              <w:rPr>
                <w:rFonts w:ascii="Verdana" w:hAnsi="Verdana"/>
                <w:b/>
                <w:sz w:val="32"/>
                <w:szCs w:val="32"/>
              </w:rPr>
            </w:pPr>
            <w:r w:rsidRPr="00727C90">
              <w:rPr>
                <w:rFonts w:ascii="Verdana" w:hAnsi="Verdana"/>
                <w:b/>
                <w:sz w:val="32"/>
                <w:szCs w:val="32"/>
              </w:rPr>
              <w:t>Rue des Marais ; 11</w:t>
            </w:r>
          </w:p>
          <w:p w14:paraId="7FDE181A" w14:textId="77777777" w:rsidR="00E402C6" w:rsidRPr="00727C90" w:rsidRDefault="00E402C6" w:rsidP="00F421B1">
            <w:pPr>
              <w:pStyle w:val="Retraitcorpsdetexte3"/>
              <w:spacing w:before="0" w:after="0"/>
              <w:ind w:firstLine="0"/>
              <w:jc w:val="center"/>
              <w:rPr>
                <w:rFonts w:ascii="Verdana" w:hAnsi="Verdana"/>
                <w:b/>
                <w:sz w:val="32"/>
                <w:szCs w:val="32"/>
              </w:rPr>
            </w:pPr>
            <w:r w:rsidRPr="00727C90">
              <w:rPr>
                <w:rFonts w:ascii="Verdana" w:hAnsi="Verdana"/>
                <w:b/>
                <w:sz w:val="32"/>
                <w:szCs w:val="32"/>
              </w:rPr>
              <w:t>5300 Seilles</w:t>
            </w:r>
          </w:p>
        </w:tc>
      </w:tr>
      <w:tr w:rsidR="00E402C6" w:rsidRPr="00727C90" w14:paraId="0DFEEBF6" w14:textId="77777777" w:rsidTr="00F421B1">
        <w:tc>
          <w:tcPr>
            <w:tcW w:w="9212" w:type="dxa"/>
          </w:tcPr>
          <w:p w14:paraId="3800B3CF" w14:textId="77777777" w:rsidR="00E402C6" w:rsidRPr="00727C90" w:rsidRDefault="00E402C6" w:rsidP="00F421B1">
            <w:pPr>
              <w:rPr>
                <w:rFonts w:ascii="Verdana" w:hAnsi="Verdana"/>
              </w:rPr>
            </w:pPr>
          </w:p>
        </w:tc>
      </w:tr>
      <w:tr w:rsidR="00E402C6" w:rsidRPr="00727C90" w14:paraId="56AA49D0" w14:textId="77777777" w:rsidTr="00F421B1">
        <w:tc>
          <w:tcPr>
            <w:tcW w:w="9212" w:type="dxa"/>
          </w:tcPr>
          <w:p w14:paraId="07AEF517" w14:textId="2B9A9C25" w:rsidR="00E402C6" w:rsidRPr="00727C90" w:rsidRDefault="003E1B90" w:rsidP="00F421B1">
            <w:pPr>
              <w:pStyle w:val="Retraitcorpsdetexte3"/>
              <w:spacing w:before="0" w:after="0"/>
              <w:ind w:firstLine="0"/>
              <w:jc w:val="center"/>
              <w:rPr>
                <w:rFonts w:ascii="Verdana" w:hAnsi="Verdana"/>
                <w:b/>
                <w:sz w:val="48"/>
                <w:szCs w:val="48"/>
                <w:u w:val="single"/>
              </w:rPr>
            </w:pPr>
            <w:r>
              <w:rPr>
                <w:rFonts w:ascii="Verdana" w:hAnsi="Verdana"/>
                <w:b/>
                <w:sz w:val="48"/>
                <w:szCs w:val="48"/>
                <w:u w:val="single"/>
              </w:rPr>
              <w:t>ANNEE 20</w:t>
            </w:r>
            <w:r w:rsidR="000A0FA0">
              <w:rPr>
                <w:rFonts w:ascii="Verdana" w:hAnsi="Verdana"/>
                <w:b/>
                <w:sz w:val="48"/>
                <w:szCs w:val="48"/>
                <w:u w:val="single"/>
              </w:rPr>
              <w:t>2</w:t>
            </w:r>
            <w:r w:rsidR="00482480">
              <w:rPr>
                <w:rFonts w:ascii="Verdana" w:hAnsi="Verdana"/>
                <w:b/>
                <w:sz w:val="48"/>
                <w:szCs w:val="48"/>
                <w:u w:val="single"/>
              </w:rPr>
              <w:t>5</w:t>
            </w:r>
          </w:p>
          <w:p w14:paraId="5DFD3A16" w14:textId="77777777" w:rsidR="00E402C6" w:rsidRPr="00727C90" w:rsidRDefault="00E402C6" w:rsidP="00F421B1">
            <w:pPr>
              <w:rPr>
                <w:rFonts w:ascii="Verdana" w:hAnsi="Verdana"/>
              </w:rPr>
            </w:pPr>
          </w:p>
        </w:tc>
      </w:tr>
      <w:tr w:rsidR="00E402C6" w:rsidRPr="00727C90" w14:paraId="3FA0E9DF" w14:textId="77777777" w:rsidTr="00F421B1">
        <w:tc>
          <w:tcPr>
            <w:tcW w:w="9212" w:type="dxa"/>
          </w:tcPr>
          <w:p w14:paraId="5DDE9903" w14:textId="77777777" w:rsidR="00E402C6" w:rsidRPr="00727C90" w:rsidRDefault="00E402C6" w:rsidP="00F421B1">
            <w:pPr>
              <w:rPr>
                <w:rFonts w:ascii="Verdana" w:hAnsi="Verdana"/>
              </w:rPr>
            </w:pPr>
          </w:p>
        </w:tc>
      </w:tr>
      <w:tr w:rsidR="00E402C6" w:rsidRPr="00727C90" w14:paraId="71AC7F26" w14:textId="77777777" w:rsidTr="00F421B1">
        <w:tc>
          <w:tcPr>
            <w:tcW w:w="9212" w:type="dxa"/>
          </w:tcPr>
          <w:p w14:paraId="1B38EB6D" w14:textId="77777777" w:rsidR="00E402C6" w:rsidRPr="00727C90" w:rsidRDefault="00E402C6" w:rsidP="00F421B1">
            <w:pPr>
              <w:rPr>
                <w:rFonts w:ascii="Verdana" w:hAnsi="Verdana"/>
              </w:rPr>
            </w:pPr>
          </w:p>
        </w:tc>
      </w:tr>
      <w:tr w:rsidR="00E402C6" w:rsidRPr="00727C90" w14:paraId="518A6E90" w14:textId="77777777" w:rsidTr="00F421B1">
        <w:tc>
          <w:tcPr>
            <w:tcW w:w="9212" w:type="dxa"/>
          </w:tcPr>
          <w:p w14:paraId="0196CABF" w14:textId="4E81F5DF" w:rsidR="00E402C6" w:rsidRDefault="003E1B90" w:rsidP="00F421B1">
            <w:pPr>
              <w:pStyle w:val="Retraitcorpsdetexte3"/>
              <w:spacing w:before="0" w:after="0"/>
              <w:ind w:firstLine="0"/>
              <w:jc w:val="center"/>
              <w:rPr>
                <w:rFonts w:ascii="Verdana" w:hAnsi="Verdana"/>
                <w:b/>
                <w:sz w:val="48"/>
                <w:szCs w:val="48"/>
                <w:u w:val="single"/>
              </w:rPr>
            </w:pPr>
            <w:r>
              <w:rPr>
                <w:rFonts w:ascii="Verdana" w:hAnsi="Verdana"/>
                <w:b/>
                <w:sz w:val="48"/>
                <w:szCs w:val="48"/>
                <w:u w:val="single"/>
              </w:rPr>
              <w:t xml:space="preserve">Plan d’adaptation </w:t>
            </w:r>
            <w:r w:rsidR="00C31497">
              <w:rPr>
                <w:rFonts w:ascii="Verdana" w:hAnsi="Verdana"/>
                <w:b/>
                <w:sz w:val="48"/>
                <w:szCs w:val="48"/>
                <w:u w:val="single"/>
              </w:rPr>
              <w:t>202</w:t>
            </w:r>
            <w:r w:rsidR="00482480">
              <w:rPr>
                <w:rFonts w:ascii="Verdana" w:hAnsi="Verdana"/>
                <w:b/>
                <w:sz w:val="48"/>
                <w:szCs w:val="48"/>
                <w:u w:val="single"/>
              </w:rPr>
              <w:t>6</w:t>
            </w:r>
            <w:r w:rsidR="00C31497">
              <w:rPr>
                <w:rFonts w:ascii="Verdana" w:hAnsi="Verdana"/>
                <w:b/>
                <w:sz w:val="48"/>
                <w:szCs w:val="48"/>
                <w:u w:val="single"/>
              </w:rPr>
              <w:t>-20</w:t>
            </w:r>
            <w:r w:rsidR="00FC1211">
              <w:rPr>
                <w:rFonts w:ascii="Verdana" w:hAnsi="Verdana"/>
                <w:b/>
                <w:sz w:val="48"/>
                <w:szCs w:val="48"/>
                <w:u w:val="single"/>
              </w:rPr>
              <w:t>3</w:t>
            </w:r>
            <w:r w:rsidR="00FC5681">
              <w:rPr>
                <w:rFonts w:ascii="Verdana" w:hAnsi="Verdana"/>
                <w:b/>
                <w:sz w:val="48"/>
                <w:szCs w:val="48"/>
                <w:u w:val="single"/>
              </w:rPr>
              <w:t>1</w:t>
            </w:r>
          </w:p>
          <w:p w14:paraId="10ECB145" w14:textId="77777777" w:rsidR="003E1B90" w:rsidRPr="00727C90" w:rsidRDefault="003E1B90" w:rsidP="000A0FA0">
            <w:pPr>
              <w:pStyle w:val="Retraitcorpsdetexte3"/>
              <w:spacing w:before="0" w:after="0"/>
              <w:ind w:firstLine="0"/>
              <w:rPr>
                <w:rFonts w:ascii="Verdana" w:hAnsi="Verdana"/>
                <w:b/>
                <w:sz w:val="48"/>
                <w:szCs w:val="48"/>
                <w:u w:val="single"/>
              </w:rPr>
            </w:pPr>
          </w:p>
          <w:p w14:paraId="63595A2A" w14:textId="77777777" w:rsidR="00E402C6" w:rsidRPr="00727C90" w:rsidRDefault="00E402C6" w:rsidP="00F421B1">
            <w:pPr>
              <w:pStyle w:val="Retraitcorpsdetexte3"/>
              <w:spacing w:before="0" w:after="0"/>
              <w:ind w:firstLine="0"/>
              <w:jc w:val="center"/>
              <w:rPr>
                <w:rFonts w:ascii="Verdana" w:hAnsi="Verdana"/>
                <w:b/>
                <w:i/>
                <w:sz w:val="48"/>
                <w:szCs w:val="48"/>
              </w:rPr>
            </w:pPr>
          </w:p>
          <w:p w14:paraId="75E4E824" w14:textId="77777777" w:rsidR="00E402C6" w:rsidRPr="00727C90" w:rsidRDefault="00E402C6" w:rsidP="00F421B1">
            <w:pPr>
              <w:pStyle w:val="Retraitcorpsdetexte3"/>
              <w:spacing w:before="0" w:after="0"/>
              <w:ind w:firstLine="0"/>
              <w:jc w:val="center"/>
              <w:rPr>
                <w:rFonts w:ascii="Verdana" w:hAnsi="Verdana"/>
                <w:b/>
                <w:sz w:val="48"/>
                <w:szCs w:val="48"/>
                <w:u w:val="single"/>
              </w:rPr>
            </w:pPr>
            <w:r w:rsidRPr="00727C90">
              <w:rPr>
                <w:rFonts w:ascii="Verdana" w:hAnsi="Verdana"/>
                <w:b/>
                <w:sz w:val="48"/>
                <w:szCs w:val="48"/>
                <w:u w:val="single"/>
              </w:rPr>
              <w:t>Réseau de distribution d’électricité</w:t>
            </w:r>
          </w:p>
          <w:p w14:paraId="69AA9E5E" w14:textId="77777777" w:rsidR="00E402C6" w:rsidRPr="00727C90" w:rsidRDefault="00E402C6" w:rsidP="00F421B1">
            <w:pPr>
              <w:rPr>
                <w:rFonts w:ascii="Verdana" w:hAnsi="Verdana"/>
              </w:rPr>
            </w:pPr>
          </w:p>
        </w:tc>
      </w:tr>
    </w:tbl>
    <w:p w14:paraId="46C0722A" w14:textId="77777777" w:rsidR="00E402C6" w:rsidRPr="00727C90" w:rsidRDefault="00E402C6">
      <w:pPr>
        <w:rPr>
          <w:rFonts w:ascii="Verdana" w:hAnsi="Verdana"/>
        </w:rPr>
      </w:pPr>
      <w:r w:rsidRPr="00727C90">
        <w:rPr>
          <w:rFonts w:ascii="Verdana" w:hAnsi="Verdana"/>
        </w:rPr>
        <w:br w:type="page"/>
      </w:r>
    </w:p>
    <w:p w14:paraId="5FE885A7" w14:textId="2EDB9766" w:rsidR="00904D19" w:rsidRPr="00806B13" w:rsidRDefault="00AC777F" w:rsidP="00806B13">
      <w:pPr>
        <w:pStyle w:val="Paragraphedeliste"/>
        <w:numPr>
          <w:ilvl w:val="0"/>
          <w:numId w:val="1"/>
        </w:numPr>
        <w:rPr>
          <w:rFonts w:ascii="Verdana" w:hAnsi="Verdana"/>
          <w:b/>
          <w:sz w:val="32"/>
          <w:szCs w:val="32"/>
        </w:rPr>
      </w:pPr>
      <w:r>
        <w:rPr>
          <w:rFonts w:ascii="Verdana" w:hAnsi="Verdana"/>
          <w:b/>
          <w:sz w:val="32"/>
          <w:szCs w:val="32"/>
        </w:rPr>
        <w:lastRenderedPageBreak/>
        <w:t xml:space="preserve">Introduction </w:t>
      </w:r>
    </w:p>
    <w:p w14:paraId="01732B4A" w14:textId="47F3B4BE" w:rsidR="00806B13" w:rsidRPr="00806B13" w:rsidRDefault="00806B13" w:rsidP="00806B13">
      <w:pPr>
        <w:pStyle w:val="Paragraphedeliste"/>
        <w:numPr>
          <w:ilvl w:val="0"/>
          <w:numId w:val="1"/>
        </w:numPr>
        <w:rPr>
          <w:rFonts w:ascii="Verdana" w:hAnsi="Verdana"/>
          <w:b/>
          <w:sz w:val="32"/>
          <w:szCs w:val="32"/>
        </w:rPr>
      </w:pPr>
      <w:r w:rsidRPr="00806B13">
        <w:rPr>
          <w:rFonts w:ascii="Verdana" w:hAnsi="Verdana"/>
          <w:b/>
          <w:sz w:val="32"/>
          <w:szCs w:val="32"/>
        </w:rPr>
        <w:t xml:space="preserve">Descriptif de l’infrastructure existante </w:t>
      </w:r>
    </w:p>
    <w:p w14:paraId="765C540C" w14:textId="408A20C8" w:rsidR="00E402C6" w:rsidRDefault="00E402C6" w:rsidP="00323438">
      <w:pPr>
        <w:pStyle w:val="Paragraphedeliste"/>
        <w:numPr>
          <w:ilvl w:val="1"/>
          <w:numId w:val="1"/>
        </w:numPr>
        <w:rPr>
          <w:rFonts w:ascii="Verdana" w:hAnsi="Verdana"/>
          <w:sz w:val="28"/>
          <w:szCs w:val="28"/>
        </w:rPr>
      </w:pPr>
      <w:r w:rsidRPr="00323438">
        <w:rPr>
          <w:rFonts w:ascii="Verdana" w:hAnsi="Verdana"/>
          <w:sz w:val="28"/>
          <w:szCs w:val="28"/>
        </w:rPr>
        <w:t xml:space="preserve">Données Chiffrées – Situation des réseaux au 31 décembre </w:t>
      </w:r>
      <w:r w:rsidR="00711B55">
        <w:rPr>
          <w:rFonts w:ascii="Verdana" w:hAnsi="Verdana"/>
          <w:sz w:val="28"/>
          <w:szCs w:val="28"/>
        </w:rPr>
        <w:t>202</w:t>
      </w:r>
      <w:r w:rsidR="00D96628">
        <w:rPr>
          <w:rFonts w:ascii="Verdana" w:hAnsi="Verdana"/>
          <w:sz w:val="28"/>
          <w:szCs w:val="28"/>
        </w:rPr>
        <w:t>4</w:t>
      </w:r>
    </w:p>
    <w:p w14:paraId="22CEC4A0" w14:textId="048E7D17" w:rsidR="00DC090E" w:rsidRPr="00DC090E" w:rsidRDefault="00DC090E" w:rsidP="00371937">
      <w:pPr>
        <w:jc w:val="both"/>
        <w:rPr>
          <w:rFonts w:ascii="Verdana" w:hAnsi="Verdana"/>
          <w:sz w:val="24"/>
          <w:szCs w:val="24"/>
        </w:rPr>
      </w:pPr>
      <w:r w:rsidRPr="00DC090E">
        <w:rPr>
          <w:rFonts w:ascii="Verdana" w:hAnsi="Verdana"/>
          <w:sz w:val="24"/>
          <w:szCs w:val="24"/>
        </w:rPr>
        <w:t>En annexe 1 du présent rapport, figure le tableau référencé « Tab 0_descriptif installations existantes ». Ce document constitue un inventaire détaillé de l’infrastructure technique en place à la date de référence du 31 décembre 2024. Le tableau a été rigoureusement renseigné afin de fournir une description exhaustive des installations existantes, incluant notamment les caractéristiques techniques, les localisations, ainsi que les fonctions associées aux équipements recensés.</w:t>
      </w:r>
    </w:p>
    <w:p w14:paraId="7159ECD6" w14:textId="77777777" w:rsidR="00DC090E" w:rsidRPr="00DC090E" w:rsidRDefault="00DC090E" w:rsidP="00371937">
      <w:pPr>
        <w:jc w:val="both"/>
        <w:rPr>
          <w:rFonts w:ascii="Verdana" w:hAnsi="Verdana"/>
          <w:sz w:val="24"/>
          <w:szCs w:val="24"/>
        </w:rPr>
      </w:pPr>
      <w:r w:rsidRPr="00DC090E">
        <w:rPr>
          <w:rFonts w:ascii="Verdana" w:hAnsi="Verdana"/>
          <w:sz w:val="24"/>
          <w:szCs w:val="24"/>
        </w:rPr>
        <w:t>Il convient de souligner que seules les liaisons câblées ayant fait l’objet d’une pose effective suivie d’une mise en service opérationnelle ont été intégrées dans ce relevé. Les câbles en attente de raccordement final ou dont la mise en service reste à planifier ne sont pas pris en compte dans cette version du tableau, conformément à la méthodologie de recensement adoptée.</w:t>
      </w:r>
    </w:p>
    <w:p w14:paraId="033D107D" w14:textId="77777777" w:rsidR="00140003" w:rsidRPr="00323438" w:rsidRDefault="00140003" w:rsidP="00897235">
      <w:pPr>
        <w:pStyle w:val="Paragraphedeliste"/>
        <w:ind w:left="1428"/>
        <w:rPr>
          <w:rFonts w:ascii="Verdana" w:hAnsi="Verdana"/>
          <w:sz w:val="28"/>
          <w:szCs w:val="28"/>
        </w:rPr>
      </w:pPr>
    </w:p>
    <w:p w14:paraId="58AE46D4" w14:textId="15619165" w:rsidR="00323438" w:rsidRDefault="00323438" w:rsidP="00323438">
      <w:pPr>
        <w:pStyle w:val="Paragraphedeliste"/>
        <w:ind w:left="555"/>
        <w:rPr>
          <w:rFonts w:ascii="Verdana" w:hAnsi="Verdana"/>
          <w:b/>
          <w:sz w:val="28"/>
          <w:szCs w:val="28"/>
        </w:rPr>
      </w:pPr>
      <w:r w:rsidRPr="00897235">
        <w:rPr>
          <w:rFonts w:ascii="Verdana" w:hAnsi="Verdana"/>
          <w:b/>
          <w:sz w:val="28"/>
          <w:szCs w:val="28"/>
          <w:highlight w:val="yellow"/>
        </w:rPr>
        <w:t>Voir fichier Excel</w:t>
      </w:r>
    </w:p>
    <w:p w14:paraId="435EB7F4" w14:textId="77777777" w:rsidR="000C4F1F" w:rsidRPr="00897235" w:rsidRDefault="000C4F1F" w:rsidP="00323438">
      <w:pPr>
        <w:pStyle w:val="Paragraphedeliste"/>
        <w:ind w:left="555"/>
        <w:rPr>
          <w:rFonts w:ascii="Verdana" w:hAnsi="Verdana"/>
          <w:b/>
          <w:sz w:val="28"/>
          <w:szCs w:val="28"/>
        </w:rPr>
      </w:pPr>
    </w:p>
    <w:p w14:paraId="34CD2492" w14:textId="77777777" w:rsidR="00E402C6" w:rsidRDefault="00727C90" w:rsidP="00897235">
      <w:pPr>
        <w:pStyle w:val="Paragraphedeliste"/>
        <w:numPr>
          <w:ilvl w:val="1"/>
          <w:numId w:val="1"/>
        </w:numPr>
        <w:rPr>
          <w:rFonts w:ascii="Verdana" w:hAnsi="Verdana"/>
          <w:sz w:val="28"/>
          <w:szCs w:val="28"/>
        </w:rPr>
      </w:pPr>
      <w:r w:rsidRPr="00897235">
        <w:rPr>
          <w:rFonts w:ascii="Verdana" w:hAnsi="Verdana"/>
          <w:sz w:val="28"/>
          <w:szCs w:val="28"/>
        </w:rPr>
        <w:t xml:space="preserve">- </w:t>
      </w:r>
      <w:r w:rsidR="00E402C6" w:rsidRPr="00897235">
        <w:rPr>
          <w:rFonts w:ascii="Verdana" w:hAnsi="Verdana"/>
          <w:sz w:val="28"/>
          <w:szCs w:val="28"/>
        </w:rPr>
        <w:t xml:space="preserve">Pyramide des Ages </w:t>
      </w:r>
    </w:p>
    <w:p w14:paraId="159B5FE8" w14:textId="77777777" w:rsidR="000C4F1F" w:rsidRPr="000B01EA" w:rsidRDefault="00B86533" w:rsidP="00897235">
      <w:pPr>
        <w:rPr>
          <w:rFonts w:ascii="Verdana" w:hAnsi="Verdana"/>
        </w:rPr>
      </w:pPr>
      <w:r w:rsidRPr="000B01EA">
        <w:rPr>
          <w:rFonts w:ascii="Verdana" w:hAnsi="Verdana"/>
        </w:rPr>
        <w:t>Le tableau ci-dessous présente la répartition des infrastructures en fonction de leur âge</w:t>
      </w:r>
    </w:p>
    <w:p w14:paraId="181B0925" w14:textId="77777777" w:rsidR="000C4F1F" w:rsidRDefault="000C4F1F" w:rsidP="00897235">
      <w:pPr>
        <w:rPr>
          <w:rFonts w:ascii="Segoe UI" w:hAnsi="Segoe UI" w:cs="Segoe UI"/>
          <w:color w:val="374151"/>
          <w:shd w:val="clear" w:color="auto" w:fill="F7F7F8"/>
        </w:rPr>
      </w:pPr>
    </w:p>
    <w:p w14:paraId="3B9A0B92" w14:textId="2AE75216" w:rsidR="000C4F1F" w:rsidRDefault="003A63FE" w:rsidP="00897235">
      <w:pPr>
        <w:rPr>
          <w:noProof/>
        </w:rPr>
      </w:pPr>
      <w:r w:rsidRPr="003A63FE">
        <w:rPr>
          <w:noProof/>
        </w:rPr>
        <w:drawing>
          <wp:inline distT="0" distB="0" distL="0" distR="0" wp14:anchorId="1C5AFE57" wp14:editId="43298530">
            <wp:extent cx="5759450" cy="2644775"/>
            <wp:effectExtent l="0" t="0" r="0" b="3175"/>
            <wp:docPr id="21296756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75696" name=""/>
                    <pic:cNvPicPr/>
                  </pic:nvPicPr>
                  <pic:blipFill>
                    <a:blip r:embed="rId9"/>
                    <a:stretch>
                      <a:fillRect/>
                    </a:stretch>
                  </pic:blipFill>
                  <pic:spPr>
                    <a:xfrm>
                      <a:off x="0" y="0"/>
                      <a:ext cx="5759450" cy="2644775"/>
                    </a:xfrm>
                    <a:prstGeom prst="rect">
                      <a:avLst/>
                    </a:prstGeom>
                  </pic:spPr>
                </pic:pic>
              </a:graphicData>
            </a:graphic>
          </wp:inline>
        </w:drawing>
      </w:r>
      <w:r w:rsidR="00B86533">
        <w:rPr>
          <w:rFonts w:ascii="Segoe UI" w:hAnsi="Segoe UI" w:cs="Segoe UI"/>
          <w:color w:val="374151"/>
          <w:shd w:val="clear" w:color="auto" w:fill="F7F7F8"/>
        </w:rPr>
        <w:t>.</w:t>
      </w:r>
      <w:r w:rsidR="000C4F1F" w:rsidRPr="000C4F1F">
        <w:rPr>
          <w:noProof/>
        </w:rPr>
        <w:t xml:space="preserve"> </w:t>
      </w:r>
      <w:r w:rsidR="000C4F1F">
        <w:rPr>
          <w:noProof/>
        </w:rPr>
        <w:t xml:space="preserve"> </w:t>
      </w:r>
    </w:p>
    <w:p w14:paraId="6FACFCB1" w14:textId="668678C5" w:rsidR="00AB42D3" w:rsidRDefault="00844674" w:rsidP="00897235">
      <w:pPr>
        <w:rPr>
          <w:rFonts w:ascii="Verdana" w:hAnsi="Verdana"/>
          <w:sz w:val="28"/>
          <w:szCs w:val="28"/>
        </w:rPr>
      </w:pPr>
      <w:r w:rsidRPr="00844674">
        <w:rPr>
          <w:noProof/>
        </w:rPr>
        <w:lastRenderedPageBreak/>
        <w:drawing>
          <wp:inline distT="0" distB="0" distL="0" distR="0" wp14:anchorId="7C7EAEDB" wp14:editId="4C2C9CC1">
            <wp:extent cx="5759450" cy="3644900"/>
            <wp:effectExtent l="0" t="0" r="0" b="0"/>
            <wp:docPr id="5999639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63960" name=""/>
                    <pic:cNvPicPr/>
                  </pic:nvPicPr>
                  <pic:blipFill>
                    <a:blip r:embed="rId10"/>
                    <a:stretch>
                      <a:fillRect/>
                    </a:stretch>
                  </pic:blipFill>
                  <pic:spPr>
                    <a:xfrm>
                      <a:off x="0" y="0"/>
                      <a:ext cx="5759450" cy="3644900"/>
                    </a:xfrm>
                    <a:prstGeom prst="rect">
                      <a:avLst/>
                    </a:prstGeom>
                  </pic:spPr>
                </pic:pic>
              </a:graphicData>
            </a:graphic>
          </wp:inline>
        </w:drawing>
      </w:r>
    </w:p>
    <w:p w14:paraId="0CF7DB35" w14:textId="3A853937" w:rsidR="001E3D3B" w:rsidRDefault="001E3D3B" w:rsidP="00897235">
      <w:pPr>
        <w:rPr>
          <w:rFonts w:ascii="Verdana" w:hAnsi="Verdana"/>
          <w:sz w:val="28"/>
          <w:szCs w:val="28"/>
          <w:u w:val="single"/>
        </w:rPr>
      </w:pPr>
      <w:r w:rsidRPr="001E3D3B">
        <w:rPr>
          <w:rFonts w:ascii="Verdana" w:hAnsi="Verdana"/>
          <w:sz w:val="28"/>
          <w:szCs w:val="28"/>
          <w:highlight w:val="yellow"/>
          <w:u w:val="single"/>
        </w:rPr>
        <w:t xml:space="preserve">Age moyen pondéré </w:t>
      </w:r>
    </w:p>
    <w:p w14:paraId="26B20FF6" w14:textId="77777777" w:rsidR="00D07FF4" w:rsidRDefault="00D07FF4" w:rsidP="007C12BD">
      <w:pPr>
        <w:jc w:val="both"/>
        <w:rPr>
          <w:rFonts w:ascii="Verdana" w:hAnsi="Verdana"/>
          <w:sz w:val="24"/>
          <w:szCs w:val="24"/>
        </w:rPr>
      </w:pPr>
      <w:r w:rsidRPr="00D07FF4">
        <w:drawing>
          <wp:inline distT="0" distB="0" distL="0" distR="0" wp14:anchorId="69E717AB" wp14:editId="3700FD75">
            <wp:extent cx="3209524" cy="1533333"/>
            <wp:effectExtent l="0" t="0" r="0" b="0"/>
            <wp:docPr id="446555831" name="Image 1" descr="Une image contenant texte, capture d’écran,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55831" name="Image 1" descr="Une image contenant texte, capture d’écran, Police&#10;&#10;Le contenu généré par l’IA peut être incorrect."/>
                    <pic:cNvPicPr/>
                  </pic:nvPicPr>
                  <pic:blipFill>
                    <a:blip r:embed="rId11"/>
                    <a:stretch>
                      <a:fillRect/>
                    </a:stretch>
                  </pic:blipFill>
                  <pic:spPr>
                    <a:xfrm>
                      <a:off x="0" y="0"/>
                      <a:ext cx="3209524" cy="1533333"/>
                    </a:xfrm>
                    <a:prstGeom prst="rect">
                      <a:avLst/>
                    </a:prstGeom>
                  </pic:spPr>
                </pic:pic>
              </a:graphicData>
            </a:graphic>
          </wp:inline>
        </w:drawing>
      </w:r>
    </w:p>
    <w:p w14:paraId="602FDE79" w14:textId="77777777" w:rsidR="00D07FF4" w:rsidRDefault="00D07FF4" w:rsidP="007C12BD">
      <w:pPr>
        <w:jc w:val="both"/>
        <w:rPr>
          <w:rFonts w:ascii="Verdana" w:hAnsi="Verdana"/>
          <w:sz w:val="24"/>
          <w:szCs w:val="24"/>
        </w:rPr>
      </w:pPr>
    </w:p>
    <w:p w14:paraId="6B82872E" w14:textId="181B08DE" w:rsidR="007C12BD" w:rsidRPr="007C12BD" w:rsidRDefault="007C12BD" w:rsidP="007C12BD">
      <w:pPr>
        <w:jc w:val="both"/>
        <w:rPr>
          <w:rFonts w:ascii="Verdana" w:hAnsi="Verdana"/>
          <w:sz w:val="24"/>
          <w:szCs w:val="24"/>
        </w:rPr>
      </w:pPr>
      <w:r w:rsidRPr="007C12BD">
        <w:rPr>
          <w:rFonts w:ascii="Verdana" w:hAnsi="Verdana"/>
          <w:sz w:val="24"/>
          <w:szCs w:val="24"/>
        </w:rPr>
        <w:t>Conformément aux prescriptions du Décret, le présent paragraphe apporte un éclairage détaillé sur la répartition par âge des principales composantes du réseau Moyenne Tension (MT) de l’AIEG, ainsi qu’une évaluation de leur état de vétusté à la date de référence du 31 décembre 2024. Une analyse complémentaire est également fournie pour les éléments structurants du réseau Basse Tension (BT).</w:t>
      </w:r>
    </w:p>
    <w:p w14:paraId="0988F1B7" w14:textId="77777777" w:rsidR="007C12BD" w:rsidRPr="007C12BD" w:rsidRDefault="007C12BD" w:rsidP="007C12BD">
      <w:pPr>
        <w:jc w:val="both"/>
        <w:rPr>
          <w:rFonts w:ascii="Verdana" w:hAnsi="Verdana"/>
          <w:b/>
          <w:bCs/>
          <w:sz w:val="24"/>
          <w:szCs w:val="24"/>
        </w:rPr>
      </w:pPr>
      <w:r w:rsidRPr="007C12BD">
        <w:rPr>
          <w:rFonts w:ascii="Verdana" w:hAnsi="Verdana"/>
          <w:b/>
          <w:bCs/>
          <w:sz w:val="24"/>
          <w:szCs w:val="24"/>
        </w:rPr>
        <w:t>a) Réseau Moyenne Tension – Analyse de la pyramide des âges</w:t>
      </w:r>
    </w:p>
    <w:p w14:paraId="65ADB2A6" w14:textId="77777777" w:rsidR="007C12BD" w:rsidRPr="007C12BD" w:rsidRDefault="007C12BD" w:rsidP="007C12BD">
      <w:pPr>
        <w:jc w:val="both"/>
        <w:rPr>
          <w:rFonts w:ascii="Verdana" w:hAnsi="Verdana"/>
          <w:sz w:val="24"/>
          <w:szCs w:val="24"/>
        </w:rPr>
      </w:pPr>
      <w:r w:rsidRPr="007C12BD">
        <w:rPr>
          <w:rFonts w:ascii="Verdana" w:hAnsi="Verdana"/>
          <w:sz w:val="24"/>
          <w:szCs w:val="24"/>
        </w:rPr>
        <w:t>La pyramide des âges du réseau MT de l’AIEG fait apparaître les éléments suivants :</w:t>
      </w:r>
    </w:p>
    <w:p w14:paraId="53AB7AD9" w14:textId="77777777" w:rsidR="007C12BD" w:rsidRPr="007C12BD" w:rsidRDefault="007C12BD" w:rsidP="007C12BD">
      <w:pPr>
        <w:numPr>
          <w:ilvl w:val="0"/>
          <w:numId w:val="28"/>
        </w:numPr>
        <w:jc w:val="both"/>
        <w:rPr>
          <w:rFonts w:ascii="Verdana" w:hAnsi="Verdana"/>
          <w:sz w:val="24"/>
          <w:szCs w:val="24"/>
        </w:rPr>
      </w:pPr>
      <w:r w:rsidRPr="007C12BD">
        <w:rPr>
          <w:rFonts w:ascii="Verdana" w:hAnsi="Verdana"/>
          <w:b/>
          <w:bCs/>
          <w:sz w:val="24"/>
          <w:szCs w:val="24"/>
        </w:rPr>
        <w:t>Câbles MT</w:t>
      </w:r>
      <w:r w:rsidRPr="007C12BD">
        <w:rPr>
          <w:rFonts w:ascii="Verdana" w:hAnsi="Verdana"/>
          <w:sz w:val="24"/>
          <w:szCs w:val="24"/>
        </w:rPr>
        <w:t xml:space="preserve"> : sur un total de 332 km installés, environ 29 % (97 km) sont âgés de 15 à 30 ans, tandis que 24 % (80 km) ont entre 5 et 15 ans. Une part significative (40 %, soit 132 km) correspond à des </w:t>
      </w:r>
      <w:r w:rsidRPr="007C12BD">
        <w:rPr>
          <w:rFonts w:ascii="Verdana" w:hAnsi="Verdana"/>
          <w:sz w:val="24"/>
          <w:szCs w:val="24"/>
        </w:rPr>
        <w:lastRenderedPageBreak/>
        <w:t>câbles récents (&lt; 5 ans), traduisant des efforts récents d’extension ou de renouvellement. Seuls 7 % (23 km) ont plus de 30 ans, témoignant d’un vieillissement relativement contenu de cette composante.</w:t>
      </w:r>
    </w:p>
    <w:p w14:paraId="7494A9ED" w14:textId="77777777" w:rsidR="007C12BD" w:rsidRPr="007C12BD" w:rsidRDefault="007C12BD" w:rsidP="007C12BD">
      <w:pPr>
        <w:numPr>
          <w:ilvl w:val="0"/>
          <w:numId w:val="28"/>
        </w:numPr>
        <w:jc w:val="both"/>
        <w:rPr>
          <w:rFonts w:ascii="Verdana" w:hAnsi="Verdana"/>
          <w:sz w:val="24"/>
          <w:szCs w:val="24"/>
        </w:rPr>
      </w:pPr>
      <w:r w:rsidRPr="007C12BD">
        <w:rPr>
          <w:rFonts w:ascii="Verdana" w:hAnsi="Verdana"/>
          <w:b/>
          <w:bCs/>
          <w:sz w:val="24"/>
          <w:szCs w:val="24"/>
        </w:rPr>
        <w:t>Lignes MT</w:t>
      </w:r>
      <w:r w:rsidRPr="007C12BD">
        <w:rPr>
          <w:rFonts w:ascii="Verdana" w:hAnsi="Verdana"/>
          <w:sz w:val="24"/>
          <w:szCs w:val="24"/>
        </w:rPr>
        <w:t xml:space="preserve"> : le réseau aérien MT présente une ancienneté plus marquée : 99 km sur les 106 km totaux ont entre 15 et 30 ans (93 %), tandis que 7 km (7 %) dépassent les 30 ans. Aucun segment de ligne MT n’est âgé de moins de 15 ans.</w:t>
      </w:r>
    </w:p>
    <w:p w14:paraId="0647D3CD" w14:textId="77777777" w:rsidR="007C12BD" w:rsidRPr="007C12BD" w:rsidRDefault="007C12BD" w:rsidP="007C12BD">
      <w:pPr>
        <w:jc w:val="both"/>
        <w:rPr>
          <w:rFonts w:ascii="Verdana" w:hAnsi="Verdana"/>
          <w:b/>
          <w:bCs/>
          <w:sz w:val="24"/>
          <w:szCs w:val="24"/>
        </w:rPr>
      </w:pPr>
      <w:r w:rsidRPr="007C12BD">
        <w:rPr>
          <w:rFonts w:ascii="Verdana" w:hAnsi="Verdana"/>
          <w:b/>
          <w:bCs/>
          <w:sz w:val="24"/>
          <w:szCs w:val="24"/>
        </w:rPr>
        <w:t>b) État de vétusté des infrastructures MT</w:t>
      </w:r>
    </w:p>
    <w:p w14:paraId="0C9505C4" w14:textId="77777777" w:rsidR="007C12BD" w:rsidRPr="007C12BD" w:rsidRDefault="007C12BD" w:rsidP="007C12BD">
      <w:pPr>
        <w:jc w:val="both"/>
        <w:rPr>
          <w:rFonts w:ascii="Verdana" w:hAnsi="Verdana"/>
          <w:sz w:val="24"/>
          <w:szCs w:val="24"/>
        </w:rPr>
      </w:pPr>
      <w:r w:rsidRPr="007C12BD">
        <w:rPr>
          <w:rFonts w:ascii="Verdana" w:hAnsi="Verdana"/>
          <w:sz w:val="24"/>
          <w:szCs w:val="24"/>
        </w:rPr>
        <w:t>L’analyse des taux de vétusté montre un état globalement satisfaisant pour les infrastructures MT :</w:t>
      </w:r>
    </w:p>
    <w:p w14:paraId="4C0ADCB6" w14:textId="77777777" w:rsidR="007C12BD" w:rsidRPr="007C12BD" w:rsidRDefault="007C12BD" w:rsidP="007C12BD">
      <w:pPr>
        <w:numPr>
          <w:ilvl w:val="0"/>
          <w:numId w:val="29"/>
        </w:numPr>
        <w:jc w:val="both"/>
        <w:rPr>
          <w:rFonts w:ascii="Verdana" w:hAnsi="Verdana"/>
          <w:sz w:val="24"/>
          <w:szCs w:val="24"/>
        </w:rPr>
      </w:pPr>
      <w:r w:rsidRPr="007C12BD">
        <w:rPr>
          <w:rFonts w:ascii="Verdana" w:hAnsi="Verdana"/>
          <w:b/>
          <w:bCs/>
          <w:sz w:val="24"/>
          <w:szCs w:val="24"/>
        </w:rPr>
        <w:t>Câbles MT</w:t>
      </w:r>
      <w:r w:rsidRPr="007C12BD">
        <w:rPr>
          <w:rFonts w:ascii="Verdana" w:hAnsi="Verdana"/>
          <w:sz w:val="24"/>
          <w:szCs w:val="24"/>
        </w:rPr>
        <w:t xml:space="preserve"> : taux de vétusté de 7 %, ce qui reste modéré et maîtrisé.</w:t>
      </w:r>
    </w:p>
    <w:p w14:paraId="57C207E9" w14:textId="77777777" w:rsidR="007C12BD" w:rsidRPr="007C12BD" w:rsidRDefault="007C12BD" w:rsidP="007C12BD">
      <w:pPr>
        <w:numPr>
          <w:ilvl w:val="0"/>
          <w:numId w:val="29"/>
        </w:numPr>
        <w:jc w:val="both"/>
        <w:rPr>
          <w:rFonts w:ascii="Verdana" w:hAnsi="Verdana"/>
          <w:sz w:val="24"/>
          <w:szCs w:val="24"/>
        </w:rPr>
      </w:pPr>
      <w:r w:rsidRPr="007C12BD">
        <w:rPr>
          <w:rFonts w:ascii="Verdana" w:hAnsi="Verdana"/>
          <w:b/>
          <w:bCs/>
          <w:sz w:val="24"/>
          <w:szCs w:val="24"/>
        </w:rPr>
        <w:t>Lignes MT</w:t>
      </w:r>
      <w:r w:rsidRPr="007C12BD">
        <w:rPr>
          <w:rFonts w:ascii="Verdana" w:hAnsi="Verdana"/>
          <w:sz w:val="24"/>
          <w:szCs w:val="24"/>
        </w:rPr>
        <w:t xml:space="preserve"> : également 7 % de vétusté, en cohérence avec leur âge élevé, bien que ces équipements restent fonctionnels.</w:t>
      </w:r>
    </w:p>
    <w:p w14:paraId="49B64EA9" w14:textId="77777777" w:rsidR="007C12BD" w:rsidRPr="007C12BD" w:rsidRDefault="007C12BD" w:rsidP="007C12BD">
      <w:pPr>
        <w:jc w:val="both"/>
        <w:rPr>
          <w:rFonts w:ascii="Verdana" w:hAnsi="Verdana"/>
          <w:sz w:val="24"/>
          <w:szCs w:val="24"/>
        </w:rPr>
      </w:pPr>
      <w:r w:rsidRPr="007C12BD">
        <w:rPr>
          <w:rFonts w:ascii="Verdana" w:hAnsi="Verdana"/>
          <w:sz w:val="24"/>
          <w:szCs w:val="24"/>
        </w:rPr>
        <w:t>Il convient de rappeler que l’indicateur de vétusté ne peut être corrélé de manière linéaire avec l’ancienneté. En effet, certains câbles anciens, notamment de type papier-plomb, peuvent encore assurer un service fiable, tandis que des installations plus récentes peuvent présenter des défaillances en fonction de leur environnement ou de leur technologie (e.g. PRC). Une approche fondée exclusivement sur l’âge ne saurait donc refléter fidèlement l’état réel du réseau.</w:t>
      </w:r>
    </w:p>
    <w:p w14:paraId="71F47B23" w14:textId="77777777" w:rsidR="007C12BD" w:rsidRPr="007C12BD" w:rsidRDefault="007C12BD" w:rsidP="007C12BD">
      <w:pPr>
        <w:jc w:val="both"/>
        <w:rPr>
          <w:rFonts w:ascii="Verdana" w:hAnsi="Verdana"/>
          <w:b/>
          <w:bCs/>
          <w:sz w:val="24"/>
          <w:szCs w:val="24"/>
        </w:rPr>
      </w:pPr>
      <w:r w:rsidRPr="007C12BD">
        <w:rPr>
          <w:rFonts w:ascii="Verdana" w:hAnsi="Verdana"/>
          <w:b/>
          <w:bCs/>
          <w:sz w:val="24"/>
          <w:szCs w:val="24"/>
        </w:rPr>
        <w:t>c) Politique de renouvellement et stratégie à long terme</w:t>
      </w:r>
    </w:p>
    <w:p w14:paraId="4B24F470" w14:textId="77777777" w:rsidR="007C12BD" w:rsidRPr="007C12BD" w:rsidRDefault="007C12BD" w:rsidP="007C12BD">
      <w:pPr>
        <w:jc w:val="both"/>
        <w:rPr>
          <w:rFonts w:ascii="Verdana" w:hAnsi="Verdana"/>
          <w:sz w:val="24"/>
          <w:szCs w:val="24"/>
        </w:rPr>
      </w:pPr>
      <w:r w:rsidRPr="007C12BD">
        <w:rPr>
          <w:rFonts w:ascii="Verdana" w:hAnsi="Verdana"/>
          <w:sz w:val="24"/>
          <w:szCs w:val="24"/>
        </w:rPr>
        <w:t>L’AIEG applique une stratégie proactive et pragmatique en matière de renouvellement de son réseau MT. Celle-ci repose sur :</w:t>
      </w:r>
    </w:p>
    <w:p w14:paraId="63C236F1" w14:textId="77777777" w:rsidR="007C12BD" w:rsidRPr="007C12BD" w:rsidRDefault="007C12BD" w:rsidP="007C12BD">
      <w:pPr>
        <w:numPr>
          <w:ilvl w:val="0"/>
          <w:numId w:val="30"/>
        </w:numPr>
        <w:jc w:val="both"/>
        <w:rPr>
          <w:rFonts w:ascii="Verdana" w:hAnsi="Verdana"/>
          <w:sz w:val="24"/>
          <w:szCs w:val="24"/>
        </w:rPr>
      </w:pPr>
      <w:r w:rsidRPr="007C12BD">
        <w:rPr>
          <w:rFonts w:ascii="Verdana" w:hAnsi="Verdana"/>
          <w:sz w:val="24"/>
          <w:szCs w:val="24"/>
        </w:rPr>
        <w:t xml:space="preserve">Une </w:t>
      </w:r>
      <w:r w:rsidRPr="007C12BD">
        <w:rPr>
          <w:rFonts w:ascii="Verdana" w:hAnsi="Verdana"/>
          <w:b/>
          <w:bCs/>
          <w:sz w:val="24"/>
          <w:szCs w:val="24"/>
        </w:rPr>
        <w:t>priorisation basée sur les pannes et incidents constatés</w:t>
      </w:r>
      <w:r w:rsidRPr="007C12BD">
        <w:rPr>
          <w:rFonts w:ascii="Verdana" w:hAnsi="Verdana"/>
          <w:sz w:val="24"/>
          <w:szCs w:val="24"/>
        </w:rPr>
        <w:t>, plutôt que sur l’ancienneté seule.</w:t>
      </w:r>
    </w:p>
    <w:p w14:paraId="2CC2959E" w14:textId="77777777" w:rsidR="007C12BD" w:rsidRPr="007C12BD" w:rsidRDefault="007C12BD" w:rsidP="007C12BD">
      <w:pPr>
        <w:numPr>
          <w:ilvl w:val="0"/>
          <w:numId w:val="30"/>
        </w:numPr>
        <w:jc w:val="both"/>
        <w:rPr>
          <w:rFonts w:ascii="Verdana" w:hAnsi="Verdana"/>
          <w:sz w:val="24"/>
          <w:szCs w:val="24"/>
        </w:rPr>
      </w:pPr>
      <w:r w:rsidRPr="007C12BD">
        <w:rPr>
          <w:rFonts w:ascii="Verdana" w:hAnsi="Verdana"/>
          <w:sz w:val="24"/>
          <w:szCs w:val="24"/>
        </w:rPr>
        <w:t xml:space="preserve">Le </w:t>
      </w:r>
      <w:r w:rsidRPr="007C12BD">
        <w:rPr>
          <w:rFonts w:ascii="Verdana" w:hAnsi="Verdana"/>
          <w:b/>
          <w:bCs/>
          <w:sz w:val="24"/>
          <w:szCs w:val="24"/>
        </w:rPr>
        <w:t>remplacement systématique des câbles vulnérables aux agressions environnementales</w:t>
      </w:r>
      <w:r w:rsidRPr="007C12BD">
        <w:rPr>
          <w:rFonts w:ascii="Verdana" w:hAnsi="Verdana"/>
          <w:sz w:val="24"/>
          <w:szCs w:val="24"/>
        </w:rPr>
        <w:t>, tels que les câbles papier-plomb en proximité de voies ferrées, même si ceux-ci n’ont pas encore atteint une ancienneté critique.</w:t>
      </w:r>
    </w:p>
    <w:p w14:paraId="3FF28E9D" w14:textId="77777777" w:rsidR="007C12BD" w:rsidRPr="007C12BD" w:rsidRDefault="007C12BD" w:rsidP="007C12BD">
      <w:pPr>
        <w:numPr>
          <w:ilvl w:val="0"/>
          <w:numId w:val="30"/>
        </w:numPr>
        <w:jc w:val="both"/>
        <w:rPr>
          <w:rFonts w:ascii="Verdana" w:hAnsi="Verdana"/>
          <w:sz w:val="24"/>
          <w:szCs w:val="24"/>
        </w:rPr>
      </w:pPr>
      <w:r w:rsidRPr="007C12BD">
        <w:rPr>
          <w:rFonts w:ascii="Verdana" w:hAnsi="Verdana"/>
          <w:sz w:val="24"/>
          <w:szCs w:val="24"/>
        </w:rPr>
        <w:t xml:space="preserve">Une </w:t>
      </w:r>
      <w:r w:rsidRPr="007C12BD">
        <w:rPr>
          <w:rFonts w:ascii="Verdana" w:hAnsi="Verdana"/>
          <w:b/>
          <w:bCs/>
          <w:sz w:val="24"/>
          <w:szCs w:val="24"/>
        </w:rPr>
        <w:t>planification pluriannuelle du renouvellement des lignes aériennes MT</w:t>
      </w:r>
      <w:r w:rsidRPr="007C12BD">
        <w:rPr>
          <w:rFonts w:ascii="Verdana" w:hAnsi="Verdana"/>
          <w:sz w:val="24"/>
          <w:szCs w:val="24"/>
        </w:rPr>
        <w:t>, avec un ciblage prioritaire des tronçons les plus anciens (&gt; 30 ans) ou les plus sollicités.</w:t>
      </w:r>
    </w:p>
    <w:p w14:paraId="5755EA0F" w14:textId="77777777" w:rsidR="007C12BD" w:rsidRPr="007C12BD" w:rsidRDefault="007C12BD" w:rsidP="007C12BD">
      <w:pPr>
        <w:jc w:val="both"/>
        <w:rPr>
          <w:rFonts w:ascii="Verdana" w:hAnsi="Verdana"/>
          <w:sz w:val="24"/>
          <w:szCs w:val="24"/>
        </w:rPr>
      </w:pPr>
      <w:r w:rsidRPr="007C12BD">
        <w:rPr>
          <w:rFonts w:ascii="Verdana" w:hAnsi="Verdana"/>
          <w:sz w:val="24"/>
          <w:szCs w:val="24"/>
        </w:rPr>
        <w:t>Cette approche permet d’assurer un équilibre optimal entre performance, sécurité et maîtrise des investissements.</w:t>
      </w:r>
    </w:p>
    <w:p w14:paraId="1601372A" w14:textId="77777777" w:rsidR="007C12BD" w:rsidRPr="007C12BD" w:rsidRDefault="007C12BD" w:rsidP="007C12BD">
      <w:pPr>
        <w:jc w:val="both"/>
        <w:rPr>
          <w:rFonts w:ascii="Verdana" w:hAnsi="Verdana"/>
          <w:b/>
          <w:bCs/>
          <w:sz w:val="24"/>
          <w:szCs w:val="24"/>
        </w:rPr>
      </w:pPr>
      <w:r w:rsidRPr="007C12BD">
        <w:rPr>
          <w:rFonts w:ascii="Verdana" w:hAnsi="Verdana"/>
          <w:b/>
          <w:bCs/>
          <w:sz w:val="24"/>
          <w:szCs w:val="24"/>
        </w:rPr>
        <w:t>d) Éléments BT – Informations complémentaires</w:t>
      </w:r>
    </w:p>
    <w:p w14:paraId="47AE0772" w14:textId="77777777" w:rsidR="007C12BD" w:rsidRPr="007C12BD" w:rsidRDefault="007C12BD" w:rsidP="007C12BD">
      <w:pPr>
        <w:jc w:val="both"/>
        <w:rPr>
          <w:rFonts w:ascii="Verdana" w:hAnsi="Verdana"/>
          <w:sz w:val="24"/>
          <w:szCs w:val="24"/>
        </w:rPr>
      </w:pPr>
      <w:r w:rsidRPr="007C12BD">
        <w:rPr>
          <w:rFonts w:ascii="Verdana" w:hAnsi="Verdana"/>
          <w:sz w:val="24"/>
          <w:szCs w:val="24"/>
        </w:rPr>
        <w:lastRenderedPageBreak/>
        <w:t>L’AIEG fournit également, à titre informatif, les données relatives à son infrastructure BT :</w:t>
      </w:r>
    </w:p>
    <w:p w14:paraId="7A607B4D" w14:textId="77777777" w:rsidR="007C12BD" w:rsidRPr="007C12BD" w:rsidRDefault="007C12BD" w:rsidP="007C12BD">
      <w:pPr>
        <w:numPr>
          <w:ilvl w:val="0"/>
          <w:numId w:val="31"/>
        </w:numPr>
        <w:jc w:val="both"/>
        <w:rPr>
          <w:rFonts w:ascii="Verdana" w:hAnsi="Verdana"/>
          <w:sz w:val="24"/>
          <w:szCs w:val="24"/>
        </w:rPr>
      </w:pPr>
      <w:r w:rsidRPr="007C12BD">
        <w:rPr>
          <w:rFonts w:ascii="Verdana" w:hAnsi="Verdana"/>
          <w:b/>
          <w:bCs/>
          <w:sz w:val="24"/>
          <w:szCs w:val="24"/>
        </w:rPr>
        <w:t>Câbles BT</w:t>
      </w:r>
      <w:r w:rsidRPr="007C12BD">
        <w:rPr>
          <w:rFonts w:ascii="Verdana" w:hAnsi="Verdana"/>
          <w:sz w:val="24"/>
          <w:szCs w:val="24"/>
        </w:rPr>
        <w:t xml:space="preserve"> : réseau en excellent état avec un taux de vétusté nul (0 %). La majorité du réseau est récente, 64 % des câbles ayant moins de 5 ans.</w:t>
      </w:r>
    </w:p>
    <w:p w14:paraId="62671F79" w14:textId="77777777" w:rsidR="007C12BD" w:rsidRPr="007C12BD" w:rsidRDefault="007C12BD" w:rsidP="007C12BD">
      <w:pPr>
        <w:numPr>
          <w:ilvl w:val="0"/>
          <w:numId w:val="31"/>
        </w:numPr>
        <w:jc w:val="both"/>
        <w:rPr>
          <w:rFonts w:ascii="Verdana" w:hAnsi="Verdana"/>
          <w:sz w:val="24"/>
          <w:szCs w:val="24"/>
        </w:rPr>
      </w:pPr>
      <w:r w:rsidRPr="007C12BD">
        <w:rPr>
          <w:rFonts w:ascii="Verdana" w:hAnsi="Verdana"/>
          <w:b/>
          <w:bCs/>
          <w:sz w:val="24"/>
          <w:szCs w:val="24"/>
        </w:rPr>
        <w:t>Lignes BT</w:t>
      </w:r>
      <w:r w:rsidRPr="007C12BD">
        <w:rPr>
          <w:rFonts w:ascii="Verdana" w:hAnsi="Verdana"/>
          <w:sz w:val="24"/>
          <w:szCs w:val="24"/>
        </w:rPr>
        <w:t xml:space="preserve"> : malgré une proportion importante de lignes âgées de 15 à 30 ans (60 %), le taux de vétusté reste bas (5 %), traduisant une maintenance efficace.</w:t>
      </w:r>
    </w:p>
    <w:p w14:paraId="292F5161" w14:textId="77777777" w:rsidR="007C12BD" w:rsidRPr="007C12BD" w:rsidRDefault="007C12BD" w:rsidP="007C12BD">
      <w:pPr>
        <w:numPr>
          <w:ilvl w:val="0"/>
          <w:numId w:val="31"/>
        </w:numPr>
        <w:jc w:val="both"/>
        <w:rPr>
          <w:rFonts w:ascii="Verdana" w:hAnsi="Verdana"/>
          <w:sz w:val="24"/>
          <w:szCs w:val="24"/>
        </w:rPr>
      </w:pPr>
      <w:r w:rsidRPr="007C12BD">
        <w:rPr>
          <w:rFonts w:ascii="Verdana" w:hAnsi="Verdana"/>
          <w:b/>
          <w:bCs/>
          <w:sz w:val="24"/>
          <w:szCs w:val="24"/>
        </w:rPr>
        <w:t>Cabines et matériel</w:t>
      </w:r>
      <w:r w:rsidRPr="007C12BD">
        <w:rPr>
          <w:rFonts w:ascii="Verdana" w:hAnsi="Verdana"/>
          <w:sz w:val="24"/>
          <w:szCs w:val="24"/>
        </w:rPr>
        <w:t xml:space="preserve"> : ce poste présente un taux de vétusté élevé (34 %), lié à la complexité de certaines opérations de remplacement, souvent conditionnées par la disponibilité de matériel compatible et les contraintes d’exploitation.</w:t>
      </w:r>
    </w:p>
    <w:p w14:paraId="1751C9B6" w14:textId="77777777" w:rsidR="007C12BD" w:rsidRPr="007C12BD" w:rsidRDefault="007C12BD" w:rsidP="007C12BD">
      <w:pPr>
        <w:numPr>
          <w:ilvl w:val="0"/>
          <w:numId w:val="31"/>
        </w:numPr>
        <w:jc w:val="both"/>
        <w:rPr>
          <w:rFonts w:ascii="Verdana" w:hAnsi="Verdana"/>
          <w:sz w:val="24"/>
          <w:szCs w:val="24"/>
        </w:rPr>
      </w:pPr>
      <w:r w:rsidRPr="007C12BD">
        <w:rPr>
          <w:rFonts w:ascii="Verdana" w:hAnsi="Verdana"/>
          <w:b/>
          <w:bCs/>
          <w:sz w:val="24"/>
          <w:szCs w:val="24"/>
        </w:rPr>
        <w:t>Postes aériens</w:t>
      </w:r>
      <w:r w:rsidRPr="007C12BD">
        <w:rPr>
          <w:rFonts w:ascii="Verdana" w:hAnsi="Verdana"/>
          <w:sz w:val="24"/>
          <w:szCs w:val="24"/>
        </w:rPr>
        <w:t xml:space="preserve"> : 28 % de vétusté, nécessitant un suivi attentif, notamment pour les équipements de plus de 30 ans.</w:t>
      </w:r>
    </w:p>
    <w:p w14:paraId="37B40BEE" w14:textId="77777777" w:rsidR="007C12BD" w:rsidRPr="007C12BD" w:rsidRDefault="007C12BD" w:rsidP="007C12BD">
      <w:pPr>
        <w:jc w:val="both"/>
        <w:rPr>
          <w:rFonts w:ascii="Verdana" w:hAnsi="Verdana"/>
          <w:sz w:val="24"/>
          <w:szCs w:val="24"/>
        </w:rPr>
      </w:pPr>
      <w:r w:rsidRPr="007C12BD">
        <w:rPr>
          <w:rFonts w:ascii="Verdana" w:hAnsi="Verdana"/>
          <w:sz w:val="24"/>
          <w:szCs w:val="24"/>
        </w:rPr>
        <w:t>L’AIEG prévoit de poursuivre le programme de renouvellement ciblé des cabines les plus anciennes et des postes aériens identifiés comme critiques, en cohérence avec les budgets alloués et les orientations stratégiques fixées par la régulation.</w:t>
      </w:r>
    </w:p>
    <w:p w14:paraId="3047C036" w14:textId="77777777" w:rsidR="007C12BD" w:rsidRPr="00E34262" w:rsidRDefault="007C12BD" w:rsidP="00AE78EC">
      <w:pPr>
        <w:jc w:val="both"/>
        <w:rPr>
          <w:rFonts w:ascii="Verdana" w:hAnsi="Verdana"/>
          <w:sz w:val="24"/>
          <w:szCs w:val="24"/>
        </w:rPr>
      </w:pPr>
    </w:p>
    <w:p w14:paraId="2973151D" w14:textId="280DB94B" w:rsidR="00595533" w:rsidRDefault="00595533" w:rsidP="00595533">
      <w:pPr>
        <w:pStyle w:val="Paragraphedeliste"/>
        <w:ind w:left="555"/>
        <w:rPr>
          <w:rFonts w:ascii="Verdana" w:hAnsi="Verdana"/>
          <w:b/>
          <w:sz w:val="32"/>
          <w:szCs w:val="32"/>
        </w:rPr>
      </w:pPr>
      <w:r>
        <w:rPr>
          <w:rFonts w:ascii="Verdana" w:hAnsi="Verdana"/>
          <w:b/>
          <w:sz w:val="32"/>
          <w:szCs w:val="32"/>
        </w:rPr>
        <w:br w:type="page"/>
      </w:r>
    </w:p>
    <w:p w14:paraId="0309E88E" w14:textId="51110907" w:rsidR="00E402C6" w:rsidRDefault="00E402C6" w:rsidP="00806B13">
      <w:pPr>
        <w:pStyle w:val="Paragraphedeliste"/>
        <w:numPr>
          <w:ilvl w:val="0"/>
          <w:numId w:val="1"/>
        </w:numPr>
        <w:rPr>
          <w:rFonts w:ascii="Verdana" w:hAnsi="Verdana"/>
          <w:b/>
          <w:sz w:val="32"/>
          <w:szCs w:val="32"/>
        </w:rPr>
      </w:pPr>
      <w:r w:rsidRPr="00140003">
        <w:rPr>
          <w:rFonts w:ascii="Verdana" w:hAnsi="Verdana"/>
          <w:b/>
          <w:sz w:val="32"/>
          <w:szCs w:val="32"/>
        </w:rPr>
        <w:lastRenderedPageBreak/>
        <w:t xml:space="preserve">Bilan des réalisations de l’année précédente </w:t>
      </w:r>
      <w:r w:rsidR="00FF2E54" w:rsidRPr="00140003">
        <w:rPr>
          <w:rFonts w:ascii="Verdana" w:hAnsi="Verdana"/>
          <w:b/>
          <w:sz w:val="32"/>
          <w:szCs w:val="32"/>
        </w:rPr>
        <w:t xml:space="preserve">           </w:t>
      </w:r>
      <w:proofErr w:type="gramStart"/>
      <w:r w:rsidR="00FF2E54" w:rsidRPr="00140003">
        <w:rPr>
          <w:rFonts w:ascii="Verdana" w:hAnsi="Verdana"/>
          <w:b/>
          <w:sz w:val="32"/>
          <w:szCs w:val="32"/>
        </w:rPr>
        <w:t xml:space="preserve">   </w:t>
      </w:r>
      <w:r w:rsidRPr="00140003">
        <w:rPr>
          <w:rFonts w:ascii="Verdana" w:hAnsi="Verdana"/>
          <w:b/>
          <w:sz w:val="32"/>
          <w:szCs w:val="32"/>
        </w:rPr>
        <w:t>(</w:t>
      </w:r>
      <w:proofErr w:type="gramEnd"/>
      <w:r w:rsidR="00727C90" w:rsidRPr="00140003">
        <w:rPr>
          <w:rFonts w:ascii="Verdana" w:hAnsi="Verdana"/>
          <w:b/>
          <w:sz w:val="32"/>
          <w:szCs w:val="32"/>
        </w:rPr>
        <w:t xml:space="preserve">Année </w:t>
      </w:r>
      <w:r w:rsidR="00716743">
        <w:rPr>
          <w:rFonts w:ascii="Verdana" w:hAnsi="Verdana"/>
          <w:b/>
          <w:sz w:val="32"/>
          <w:szCs w:val="32"/>
        </w:rPr>
        <w:t>202</w:t>
      </w:r>
      <w:r w:rsidR="00FD6A46">
        <w:rPr>
          <w:rFonts w:ascii="Verdana" w:hAnsi="Verdana"/>
          <w:b/>
          <w:sz w:val="32"/>
          <w:szCs w:val="32"/>
        </w:rPr>
        <w:t>4</w:t>
      </w:r>
      <w:r w:rsidRPr="00140003">
        <w:rPr>
          <w:rFonts w:ascii="Verdana" w:hAnsi="Verdana"/>
          <w:b/>
          <w:sz w:val="32"/>
          <w:szCs w:val="32"/>
        </w:rPr>
        <w:t>)</w:t>
      </w:r>
    </w:p>
    <w:p w14:paraId="2E2B46A9" w14:textId="77777777" w:rsidR="00140003" w:rsidRDefault="00140003" w:rsidP="00140003">
      <w:pPr>
        <w:pStyle w:val="Paragraphedeliste"/>
        <w:ind w:left="555"/>
        <w:rPr>
          <w:rFonts w:ascii="Verdana" w:hAnsi="Verdana"/>
          <w:sz w:val="28"/>
          <w:szCs w:val="28"/>
        </w:rPr>
      </w:pPr>
    </w:p>
    <w:p w14:paraId="3180C326" w14:textId="42E05AD2" w:rsidR="00ED13E0" w:rsidRPr="00ED13E0" w:rsidRDefault="00ED13E0" w:rsidP="00ED13E0">
      <w:pPr>
        <w:jc w:val="both"/>
        <w:rPr>
          <w:rFonts w:ascii="Verdana" w:hAnsi="Verdana"/>
          <w:sz w:val="24"/>
          <w:szCs w:val="24"/>
        </w:rPr>
      </w:pPr>
      <w:r w:rsidRPr="00ED13E0">
        <w:rPr>
          <w:rFonts w:ascii="Verdana" w:hAnsi="Verdana"/>
          <w:sz w:val="24"/>
          <w:szCs w:val="24"/>
        </w:rPr>
        <w:t xml:space="preserve">Conformément aux exigences de la CWaPE, l’onglet </w:t>
      </w:r>
      <w:r w:rsidRPr="00ED13E0">
        <w:rPr>
          <w:rFonts w:ascii="Verdana" w:hAnsi="Verdana"/>
          <w:b/>
          <w:bCs/>
          <w:sz w:val="24"/>
          <w:szCs w:val="24"/>
        </w:rPr>
        <w:t>"New Tab 2_bilan N-1"</w:t>
      </w:r>
      <w:r w:rsidRPr="00ED13E0">
        <w:rPr>
          <w:rFonts w:ascii="Verdana" w:hAnsi="Verdana"/>
          <w:sz w:val="24"/>
          <w:szCs w:val="24"/>
        </w:rPr>
        <w:t xml:space="preserve"> du présent rapport reprend de manière exhaustive l’ensemble des projets d’investissement clôturés ou entamés au cours de l’exercice 202</w:t>
      </w:r>
      <w:r w:rsidR="00A236F4">
        <w:rPr>
          <w:rFonts w:ascii="Verdana" w:hAnsi="Verdana"/>
          <w:sz w:val="24"/>
          <w:szCs w:val="24"/>
        </w:rPr>
        <w:t>4</w:t>
      </w:r>
      <w:r w:rsidRPr="00ED13E0">
        <w:rPr>
          <w:rFonts w:ascii="Verdana" w:hAnsi="Verdana"/>
          <w:sz w:val="24"/>
          <w:szCs w:val="24"/>
        </w:rPr>
        <w:t xml:space="preserve">. Cette synthèse inclut à la fois les projets planifiés dans le cadre du </w:t>
      </w:r>
      <w:r w:rsidRPr="00ED13E0">
        <w:rPr>
          <w:rFonts w:ascii="Verdana" w:hAnsi="Verdana"/>
          <w:b/>
          <w:bCs/>
          <w:sz w:val="24"/>
          <w:szCs w:val="24"/>
        </w:rPr>
        <w:t>plan d’adaptation 202</w:t>
      </w:r>
      <w:r w:rsidR="00B244BB">
        <w:rPr>
          <w:rFonts w:ascii="Verdana" w:hAnsi="Verdana"/>
          <w:b/>
          <w:bCs/>
          <w:sz w:val="24"/>
          <w:szCs w:val="24"/>
        </w:rPr>
        <w:t>5</w:t>
      </w:r>
      <w:r w:rsidRPr="00ED13E0">
        <w:rPr>
          <w:rFonts w:ascii="Verdana" w:hAnsi="Verdana"/>
          <w:b/>
          <w:bCs/>
          <w:sz w:val="24"/>
          <w:szCs w:val="24"/>
        </w:rPr>
        <w:t>-2029</w:t>
      </w:r>
      <w:r w:rsidRPr="00ED13E0">
        <w:rPr>
          <w:rFonts w:ascii="Verdana" w:hAnsi="Verdana"/>
          <w:sz w:val="24"/>
          <w:szCs w:val="24"/>
        </w:rPr>
        <w:t xml:space="preserve"> et les interventions exceptionnelles, motivées par des contraintes opérationnelles telles que des incidents imprévus, des pannes répétitives ou des synergies imposées par d’autres opérateurs, notamment dans le cadre des travaux coordonnés avec </w:t>
      </w:r>
      <w:proofErr w:type="spellStart"/>
      <w:r w:rsidRPr="00ED13E0">
        <w:rPr>
          <w:rFonts w:ascii="Verdana" w:hAnsi="Verdana"/>
          <w:b/>
          <w:bCs/>
          <w:sz w:val="24"/>
          <w:szCs w:val="24"/>
        </w:rPr>
        <w:t>POWALCo</w:t>
      </w:r>
      <w:proofErr w:type="spellEnd"/>
      <w:r w:rsidRPr="00ED13E0">
        <w:rPr>
          <w:rFonts w:ascii="Verdana" w:hAnsi="Verdana"/>
          <w:sz w:val="24"/>
          <w:szCs w:val="24"/>
        </w:rPr>
        <w:t>.</w:t>
      </w:r>
    </w:p>
    <w:p w14:paraId="33CB5109" w14:textId="642F22F0" w:rsidR="00ED13E0" w:rsidRPr="00ED13E0" w:rsidRDefault="00ED13E0" w:rsidP="00ED13E0">
      <w:pPr>
        <w:jc w:val="both"/>
        <w:rPr>
          <w:rFonts w:ascii="Verdana" w:hAnsi="Verdana"/>
          <w:sz w:val="24"/>
          <w:szCs w:val="24"/>
        </w:rPr>
      </w:pPr>
      <w:r w:rsidRPr="00ED13E0">
        <w:rPr>
          <w:rFonts w:ascii="Verdana" w:hAnsi="Verdana"/>
          <w:sz w:val="24"/>
          <w:szCs w:val="24"/>
        </w:rPr>
        <w:t>Parmi les actions menées en 202</w:t>
      </w:r>
      <w:r w:rsidR="00BC293E">
        <w:rPr>
          <w:rFonts w:ascii="Verdana" w:hAnsi="Verdana"/>
          <w:sz w:val="24"/>
          <w:szCs w:val="24"/>
        </w:rPr>
        <w:t>4</w:t>
      </w:r>
      <w:r w:rsidRPr="00ED13E0">
        <w:rPr>
          <w:rFonts w:ascii="Verdana" w:hAnsi="Verdana"/>
          <w:sz w:val="24"/>
          <w:szCs w:val="24"/>
        </w:rPr>
        <w:t xml:space="preserve">, plusieurs projets ont été réalisés en urgence ou anticipés, et regroupés sous les libellés génériques </w:t>
      </w:r>
      <w:r w:rsidRPr="00ED13E0">
        <w:rPr>
          <w:rFonts w:ascii="Verdana" w:hAnsi="Verdana"/>
          <w:b/>
          <w:bCs/>
          <w:sz w:val="24"/>
          <w:szCs w:val="24"/>
        </w:rPr>
        <w:t>"AIEG_MT"</w:t>
      </w:r>
      <w:r w:rsidRPr="00ED13E0">
        <w:rPr>
          <w:rFonts w:ascii="Verdana" w:hAnsi="Verdana"/>
          <w:sz w:val="24"/>
          <w:szCs w:val="24"/>
        </w:rPr>
        <w:t xml:space="preserve"> et </w:t>
      </w:r>
      <w:r w:rsidRPr="00ED13E0">
        <w:rPr>
          <w:rFonts w:ascii="Verdana" w:hAnsi="Verdana"/>
          <w:b/>
          <w:bCs/>
          <w:sz w:val="24"/>
          <w:szCs w:val="24"/>
        </w:rPr>
        <w:t>"AIEG_BT"</w:t>
      </w:r>
      <w:r w:rsidRPr="00ED13E0">
        <w:rPr>
          <w:rFonts w:ascii="Verdana" w:hAnsi="Verdana"/>
          <w:sz w:val="24"/>
          <w:szCs w:val="24"/>
        </w:rPr>
        <w:t xml:space="preserve">, permettant ainsi une gestion réactive et ciblée des priorités réseau. En parallèle, </w:t>
      </w:r>
      <w:r w:rsidRPr="00ED13E0">
        <w:rPr>
          <w:rFonts w:ascii="Verdana" w:hAnsi="Verdana"/>
          <w:b/>
          <w:bCs/>
          <w:sz w:val="24"/>
          <w:szCs w:val="24"/>
        </w:rPr>
        <w:t>sept projets initialement prévus</w:t>
      </w:r>
      <w:r w:rsidRPr="00ED13E0">
        <w:rPr>
          <w:rFonts w:ascii="Verdana" w:hAnsi="Verdana"/>
          <w:sz w:val="24"/>
          <w:szCs w:val="24"/>
        </w:rPr>
        <w:t xml:space="preserve"> ont été reportés à 2025 ou ultérieurement. Ces reports ne compromettent en rien la </w:t>
      </w:r>
      <w:r w:rsidRPr="00ED13E0">
        <w:rPr>
          <w:rFonts w:ascii="Verdana" w:hAnsi="Verdana"/>
          <w:b/>
          <w:bCs/>
          <w:sz w:val="24"/>
          <w:szCs w:val="24"/>
        </w:rPr>
        <w:t>sécurité</w:t>
      </w:r>
      <w:r w:rsidRPr="00ED13E0">
        <w:rPr>
          <w:rFonts w:ascii="Verdana" w:hAnsi="Verdana"/>
          <w:sz w:val="24"/>
          <w:szCs w:val="24"/>
        </w:rPr>
        <w:t xml:space="preserve">, la </w:t>
      </w:r>
      <w:r w:rsidRPr="00ED13E0">
        <w:rPr>
          <w:rFonts w:ascii="Verdana" w:hAnsi="Verdana"/>
          <w:b/>
          <w:bCs/>
          <w:sz w:val="24"/>
          <w:szCs w:val="24"/>
        </w:rPr>
        <w:t>fiabilité</w:t>
      </w:r>
      <w:r w:rsidRPr="00ED13E0">
        <w:rPr>
          <w:rFonts w:ascii="Verdana" w:hAnsi="Verdana"/>
          <w:sz w:val="24"/>
          <w:szCs w:val="24"/>
        </w:rPr>
        <w:t xml:space="preserve"> ni l’</w:t>
      </w:r>
      <w:r w:rsidRPr="00ED13E0">
        <w:rPr>
          <w:rFonts w:ascii="Verdana" w:hAnsi="Verdana"/>
          <w:b/>
          <w:bCs/>
          <w:sz w:val="24"/>
          <w:szCs w:val="24"/>
        </w:rPr>
        <w:t>efficacité</w:t>
      </w:r>
      <w:r w:rsidRPr="00ED13E0">
        <w:rPr>
          <w:rFonts w:ascii="Verdana" w:hAnsi="Verdana"/>
          <w:sz w:val="24"/>
          <w:szCs w:val="24"/>
        </w:rPr>
        <w:t xml:space="preserve"> du réseau électrique, tant en moyenne qu’en basse tension. Ils s’expliquent principalement par des facteurs externes tels que des retards dans les projets des tiers investisseurs ou la nécessité de réalignement avec les calendriers de travaux mutualisés dans le cadre de </w:t>
      </w:r>
      <w:proofErr w:type="spellStart"/>
      <w:r w:rsidRPr="00ED13E0">
        <w:rPr>
          <w:rFonts w:ascii="Verdana" w:hAnsi="Verdana"/>
          <w:b/>
          <w:bCs/>
          <w:sz w:val="24"/>
          <w:szCs w:val="24"/>
        </w:rPr>
        <w:t>POWALCo</w:t>
      </w:r>
      <w:proofErr w:type="spellEnd"/>
      <w:r w:rsidRPr="00ED13E0">
        <w:rPr>
          <w:rFonts w:ascii="Verdana" w:hAnsi="Verdana"/>
          <w:sz w:val="24"/>
          <w:szCs w:val="24"/>
        </w:rPr>
        <w:t>, sur lesquels le GRD n’a pas toujours de maîtrise directe.</w:t>
      </w:r>
    </w:p>
    <w:p w14:paraId="19F0A402" w14:textId="380002D7" w:rsidR="00ED13E0" w:rsidRPr="00ED13E0" w:rsidRDefault="00ED13E0" w:rsidP="00ED13E0">
      <w:pPr>
        <w:jc w:val="both"/>
        <w:rPr>
          <w:rFonts w:ascii="Verdana" w:hAnsi="Verdana"/>
          <w:sz w:val="24"/>
          <w:szCs w:val="24"/>
        </w:rPr>
      </w:pPr>
      <w:r w:rsidRPr="00ED13E0">
        <w:rPr>
          <w:rFonts w:ascii="Verdana" w:hAnsi="Verdana"/>
          <w:sz w:val="24"/>
          <w:szCs w:val="24"/>
        </w:rPr>
        <w:t>Sur le plan financier, le montant total des investissements réalisés en 202</w:t>
      </w:r>
      <w:r w:rsidR="00BC293E">
        <w:rPr>
          <w:rFonts w:ascii="Verdana" w:hAnsi="Verdana"/>
          <w:sz w:val="24"/>
          <w:szCs w:val="24"/>
        </w:rPr>
        <w:t>4</w:t>
      </w:r>
      <w:r w:rsidRPr="00ED13E0">
        <w:rPr>
          <w:rFonts w:ascii="Verdana" w:hAnsi="Verdana"/>
          <w:sz w:val="24"/>
          <w:szCs w:val="24"/>
        </w:rPr>
        <w:t xml:space="preserve"> s’élève à </w:t>
      </w:r>
      <w:r w:rsidR="00AE05B7">
        <w:rPr>
          <w:rFonts w:ascii="Verdana" w:hAnsi="Verdana"/>
          <w:b/>
          <w:bCs/>
          <w:sz w:val="24"/>
          <w:szCs w:val="24"/>
          <w:highlight w:val="yellow"/>
        </w:rPr>
        <w:t>5</w:t>
      </w:r>
      <w:r w:rsidR="00DB0C81">
        <w:rPr>
          <w:rFonts w:ascii="Verdana" w:hAnsi="Verdana"/>
          <w:b/>
          <w:bCs/>
          <w:sz w:val="24"/>
          <w:szCs w:val="24"/>
          <w:highlight w:val="yellow"/>
        </w:rPr>
        <w:t>.</w:t>
      </w:r>
      <w:r w:rsidR="00AE05B7">
        <w:rPr>
          <w:rFonts w:ascii="Verdana" w:hAnsi="Verdana"/>
          <w:b/>
          <w:bCs/>
          <w:sz w:val="24"/>
          <w:szCs w:val="24"/>
          <w:highlight w:val="yellow"/>
        </w:rPr>
        <w:t>251</w:t>
      </w:r>
      <w:r w:rsidR="00DB0C81">
        <w:rPr>
          <w:rFonts w:ascii="Verdana" w:hAnsi="Verdana"/>
          <w:b/>
          <w:bCs/>
          <w:sz w:val="24"/>
          <w:szCs w:val="24"/>
          <w:highlight w:val="yellow"/>
        </w:rPr>
        <w:t>.888</w:t>
      </w:r>
      <w:r w:rsidRPr="00BC293E">
        <w:rPr>
          <w:rFonts w:ascii="Verdana" w:hAnsi="Verdana"/>
          <w:b/>
          <w:bCs/>
          <w:sz w:val="24"/>
          <w:szCs w:val="24"/>
          <w:highlight w:val="yellow"/>
        </w:rPr>
        <w:t xml:space="preserve"> €</w:t>
      </w:r>
      <w:r w:rsidRPr="00BC293E">
        <w:rPr>
          <w:rFonts w:ascii="Verdana" w:hAnsi="Verdana"/>
          <w:sz w:val="24"/>
          <w:szCs w:val="24"/>
          <w:highlight w:val="yellow"/>
        </w:rPr>
        <w:t xml:space="preserve">, contre un budget initial de </w:t>
      </w:r>
      <w:r w:rsidR="000D0B1F">
        <w:rPr>
          <w:rFonts w:ascii="Verdana" w:hAnsi="Verdana"/>
          <w:b/>
          <w:bCs/>
          <w:sz w:val="24"/>
          <w:szCs w:val="24"/>
          <w:highlight w:val="yellow"/>
        </w:rPr>
        <w:t>4.3</w:t>
      </w:r>
      <w:r w:rsidR="00BE462E">
        <w:rPr>
          <w:rFonts w:ascii="Verdana" w:hAnsi="Verdana"/>
          <w:b/>
          <w:bCs/>
          <w:sz w:val="24"/>
          <w:szCs w:val="24"/>
          <w:highlight w:val="yellow"/>
        </w:rPr>
        <w:t>32</w:t>
      </w:r>
      <w:r w:rsidRPr="00BC293E">
        <w:rPr>
          <w:rFonts w:ascii="Verdana" w:hAnsi="Verdana"/>
          <w:b/>
          <w:bCs/>
          <w:sz w:val="24"/>
          <w:szCs w:val="24"/>
          <w:highlight w:val="yellow"/>
        </w:rPr>
        <w:t>.000 €</w:t>
      </w:r>
      <w:r w:rsidRPr="00BC293E">
        <w:rPr>
          <w:rFonts w:ascii="Verdana" w:hAnsi="Verdana"/>
          <w:sz w:val="24"/>
          <w:szCs w:val="24"/>
          <w:highlight w:val="yellow"/>
        </w:rPr>
        <w:t>,</w:t>
      </w:r>
      <w:r w:rsidRPr="00ED13E0">
        <w:rPr>
          <w:rFonts w:ascii="Verdana" w:hAnsi="Verdana"/>
          <w:sz w:val="24"/>
          <w:szCs w:val="24"/>
        </w:rPr>
        <w:t xml:space="preserve"> soit une exécution </w:t>
      </w:r>
      <w:proofErr w:type="spellStart"/>
      <w:r w:rsidR="00BE462E">
        <w:rPr>
          <w:rFonts w:ascii="Verdana" w:hAnsi="Verdana"/>
          <w:sz w:val="24"/>
          <w:szCs w:val="24"/>
        </w:rPr>
        <w:t>superieur</w:t>
      </w:r>
      <w:proofErr w:type="spellEnd"/>
      <w:r w:rsidRPr="00ED13E0">
        <w:rPr>
          <w:rFonts w:ascii="Verdana" w:hAnsi="Verdana"/>
          <w:sz w:val="24"/>
          <w:szCs w:val="24"/>
        </w:rPr>
        <w:t xml:space="preserve"> d’environ</w:t>
      </w:r>
      <w:r w:rsidR="00BE462E">
        <w:rPr>
          <w:rFonts w:ascii="Verdana" w:hAnsi="Verdana"/>
          <w:sz w:val="24"/>
          <w:szCs w:val="24"/>
        </w:rPr>
        <w:t xml:space="preserve"> </w:t>
      </w:r>
      <w:r w:rsidR="00BE462E">
        <w:rPr>
          <w:rFonts w:ascii="Verdana" w:hAnsi="Verdana"/>
          <w:b/>
          <w:bCs/>
          <w:sz w:val="24"/>
          <w:szCs w:val="24"/>
        </w:rPr>
        <w:t>9</w:t>
      </w:r>
      <w:r w:rsidRPr="00ED13E0">
        <w:rPr>
          <w:rFonts w:ascii="Verdana" w:hAnsi="Verdana"/>
          <w:b/>
          <w:bCs/>
          <w:sz w:val="24"/>
          <w:szCs w:val="24"/>
        </w:rPr>
        <w:t>00.000 €</w:t>
      </w:r>
      <w:r w:rsidRPr="00ED13E0">
        <w:rPr>
          <w:rFonts w:ascii="Verdana" w:hAnsi="Verdana"/>
          <w:sz w:val="24"/>
          <w:szCs w:val="24"/>
        </w:rPr>
        <w:t>. Cette variation s’explique notamment par l’</w:t>
      </w:r>
      <w:r w:rsidRPr="00ED13E0">
        <w:rPr>
          <w:rFonts w:ascii="Verdana" w:hAnsi="Verdana"/>
          <w:b/>
          <w:bCs/>
          <w:sz w:val="24"/>
          <w:szCs w:val="24"/>
        </w:rPr>
        <w:t>augmentation importante des coûts liés aux pertes</w:t>
      </w:r>
      <w:r w:rsidRPr="00ED13E0">
        <w:rPr>
          <w:rFonts w:ascii="Verdana" w:hAnsi="Verdana"/>
          <w:sz w:val="24"/>
          <w:szCs w:val="24"/>
        </w:rPr>
        <w:t xml:space="preserve">, qui a conduit le GRD à adapter sa stratégie d’investissement. Les ressources ont été redirigées vers les opérations jugées les plus critiques, notamment le </w:t>
      </w:r>
      <w:r w:rsidRPr="00ED13E0">
        <w:rPr>
          <w:rFonts w:ascii="Verdana" w:hAnsi="Verdana"/>
          <w:b/>
          <w:bCs/>
          <w:sz w:val="24"/>
          <w:szCs w:val="24"/>
        </w:rPr>
        <w:t>renouvellement d’équipements MT dans les cabines</w:t>
      </w:r>
      <w:r w:rsidRPr="00ED13E0">
        <w:rPr>
          <w:rFonts w:ascii="Verdana" w:hAnsi="Verdana"/>
          <w:sz w:val="24"/>
          <w:szCs w:val="24"/>
        </w:rPr>
        <w:t>, pour lesquels des stocks étaient déjà constitués depuis 2022, au détriment des projets d’enfouissement ou de développement de nouvelles lignes, plus coûteux et moins urgents.</w:t>
      </w:r>
    </w:p>
    <w:p w14:paraId="3FD09D1E" w14:textId="77777777" w:rsidR="00ED13E0" w:rsidRDefault="00ED13E0" w:rsidP="00ED13E0">
      <w:pPr>
        <w:jc w:val="both"/>
        <w:rPr>
          <w:rFonts w:ascii="Verdana" w:hAnsi="Verdana"/>
          <w:sz w:val="24"/>
          <w:szCs w:val="24"/>
        </w:rPr>
      </w:pPr>
      <w:r w:rsidRPr="00ED13E0">
        <w:rPr>
          <w:rFonts w:ascii="Verdana" w:hAnsi="Verdana"/>
          <w:sz w:val="24"/>
          <w:szCs w:val="24"/>
        </w:rPr>
        <w:t>L’ensemble des données budgétaires et quantitatives (en € et unités placées) a été renseigné dans les tableaux 1.a et 2 conformément aux consignes, en veillant à ce que les montants relatifs aux projets reportés soient ramenés à zéro à l’exception des frais engagés (études, acquisitions, etc.). Le GRD reste attentif à l'exactitude des données encodées, et les indicateurs de cohérence de l’onglet « Introduction » ont été validés (verts) avant la transmission à la CWaPE.</w:t>
      </w:r>
    </w:p>
    <w:p w14:paraId="01758C15" w14:textId="77777777" w:rsidR="004A7BC7" w:rsidRDefault="004A7BC7" w:rsidP="004A7BC7">
      <w:pPr>
        <w:jc w:val="both"/>
        <w:rPr>
          <w:rFonts w:ascii="Verdana" w:hAnsi="Verdana"/>
          <w:sz w:val="24"/>
          <w:szCs w:val="24"/>
        </w:rPr>
      </w:pPr>
      <w:r w:rsidRPr="00EC71A0">
        <w:rPr>
          <w:rFonts w:ascii="Verdana" w:hAnsi="Verdana"/>
          <w:sz w:val="24"/>
          <w:szCs w:val="24"/>
        </w:rPr>
        <w:t xml:space="preserve">Les </w:t>
      </w:r>
      <w:r w:rsidRPr="00EC71A0">
        <w:rPr>
          <w:rFonts w:ascii="Verdana" w:hAnsi="Verdana"/>
          <w:b/>
          <w:bCs/>
          <w:sz w:val="24"/>
          <w:szCs w:val="24"/>
        </w:rPr>
        <w:t>reports ou annulations de chantiers survenus en 202</w:t>
      </w:r>
      <w:r>
        <w:rPr>
          <w:rFonts w:ascii="Verdana" w:hAnsi="Verdana"/>
          <w:b/>
          <w:bCs/>
          <w:sz w:val="24"/>
          <w:szCs w:val="24"/>
        </w:rPr>
        <w:t>4</w:t>
      </w:r>
      <w:r w:rsidRPr="00EC71A0">
        <w:rPr>
          <w:rFonts w:ascii="Verdana" w:hAnsi="Verdana"/>
          <w:sz w:val="24"/>
          <w:szCs w:val="24"/>
        </w:rPr>
        <w:t xml:space="preserve"> ne remettent pas en cause la </w:t>
      </w:r>
      <w:r w:rsidRPr="00EC71A0">
        <w:rPr>
          <w:rFonts w:ascii="Verdana" w:hAnsi="Verdana"/>
          <w:b/>
          <w:bCs/>
          <w:sz w:val="24"/>
          <w:szCs w:val="24"/>
        </w:rPr>
        <w:t>sécurité ni la fiabilité du réseau</w:t>
      </w:r>
      <w:r w:rsidRPr="00EC71A0">
        <w:rPr>
          <w:rFonts w:ascii="Verdana" w:hAnsi="Verdana"/>
          <w:sz w:val="24"/>
          <w:szCs w:val="24"/>
        </w:rPr>
        <w:t xml:space="preserve">, aussi bien </w:t>
      </w:r>
      <w:r w:rsidRPr="00EC71A0">
        <w:rPr>
          <w:rFonts w:ascii="Verdana" w:hAnsi="Verdana"/>
          <w:sz w:val="24"/>
          <w:szCs w:val="24"/>
        </w:rPr>
        <w:lastRenderedPageBreak/>
        <w:t>en moyenne qu’en basse tension. Ces reports sont le plus souvent la conséquence de retards de tiers investisseurs ou de reprogrammations imposées par des travaux mutualisés, sur lesquels le GRD dispose d’une marge de manœuvre limitée.</w:t>
      </w:r>
    </w:p>
    <w:p w14:paraId="43045800" w14:textId="77777777" w:rsidR="004A7BC7" w:rsidRPr="00EC71A0" w:rsidRDefault="004A7BC7" w:rsidP="004A7BC7">
      <w:pPr>
        <w:jc w:val="both"/>
        <w:rPr>
          <w:rFonts w:ascii="Verdana" w:hAnsi="Verdana"/>
          <w:sz w:val="24"/>
          <w:szCs w:val="24"/>
        </w:rPr>
      </w:pPr>
      <w:r w:rsidRPr="00EC71A0">
        <w:rPr>
          <w:rFonts w:ascii="Verdana" w:hAnsi="Verdana"/>
          <w:sz w:val="24"/>
          <w:szCs w:val="24"/>
        </w:rPr>
        <w:t xml:space="preserve">Au-delà de la simple maintenance, le GRD a renforcé en 2024 ses </w:t>
      </w:r>
      <w:r w:rsidRPr="00EC71A0">
        <w:rPr>
          <w:rFonts w:ascii="Verdana" w:hAnsi="Verdana"/>
          <w:b/>
          <w:bCs/>
          <w:sz w:val="24"/>
          <w:szCs w:val="24"/>
        </w:rPr>
        <w:t>investissements structurants dans la transition énergétique</w:t>
      </w:r>
      <w:r w:rsidRPr="00EC71A0">
        <w:rPr>
          <w:rFonts w:ascii="Verdana" w:hAnsi="Verdana"/>
          <w:sz w:val="24"/>
          <w:szCs w:val="24"/>
        </w:rPr>
        <w:t xml:space="preserve">. Des efforts significatifs ont été engagés pour </w:t>
      </w:r>
      <w:r w:rsidRPr="00EC71A0">
        <w:rPr>
          <w:rFonts w:ascii="Verdana" w:hAnsi="Verdana"/>
          <w:b/>
          <w:bCs/>
          <w:sz w:val="24"/>
          <w:szCs w:val="24"/>
        </w:rPr>
        <w:t>améliorer la capacité d’accueil du réseau pour la production décentralisée</w:t>
      </w:r>
      <w:r w:rsidRPr="00EC71A0">
        <w:rPr>
          <w:rFonts w:ascii="Verdana" w:hAnsi="Verdana"/>
          <w:sz w:val="24"/>
          <w:szCs w:val="24"/>
        </w:rPr>
        <w:t xml:space="preserve">, notamment via l’installation de postes plus puissants et de conducteurs de plus grande section, ainsi que par des optimisations de topologie permettant une meilleure répartition des flux. De même, des </w:t>
      </w:r>
      <w:r w:rsidRPr="00EC71A0">
        <w:rPr>
          <w:rFonts w:ascii="Verdana" w:hAnsi="Verdana"/>
          <w:b/>
          <w:bCs/>
          <w:sz w:val="24"/>
          <w:szCs w:val="24"/>
        </w:rPr>
        <w:t>renforcements ponctuels ciblés</w:t>
      </w:r>
      <w:r w:rsidRPr="00EC71A0">
        <w:rPr>
          <w:rFonts w:ascii="Verdana" w:hAnsi="Verdana"/>
          <w:sz w:val="24"/>
          <w:szCs w:val="24"/>
        </w:rPr>
        <w:t xml:space="preserve"> ont été programmés dans les zones à forte densité photovoltaïque afin de </w:t>
      </w:r>
      <w:r w:rsidRPr="00EC71A0">
        <w:rPr>
          <w:rFonts w:ascii="Verdana" w:hAnsi="Verdana"/>
          <w:b/>
          <w:bCs/>
          <w:sz w:val="24"/>
          <w:szCs w:val="24"/>
        </w:rPr>
        <w:t>limiter les décrochages d’onduleurs</w:t>
      </w:r>
      <w:r w:rsidRPr="00EC71A0">
        <w:rPr>
          <w:rFonts w:ascii="Verdana" w:hAnsi="Verdana"/>
          <w:sz w:val="24"/>
          <w:szCs w:val="24"/>
        </w:rPr>
        <w:t>, phénomène de plus en plus fréquent et problématique pour la stabilité locale du réseau BT.</w:t>
      </w:r>
    </w:p>
    <w:p w14:paraId="18B0BF56" w14:textId="77777777" w:rsidR="004A7BC7" w:rsidRPr="00EC71A0" w:rsidRDefault="004A7BC7" w:rsidP="004A7BC7">
      <w:pPr>
        <w:jc w:val="both"/>
        <w:rPr>
          <w:rFonts w:ascii="Verdana" w:hAnsi="Verdana"/>
          <w:sz w:val="24"/>
          <w:szCs w:val="24"/>
        </w:rPr>
      </w:pPr>
      <w:r w:rsidRPr="00EC71A0">
        <w:rPr>
          <w:rFonts w:ascii="Verdana" w:hAnsi="Verdana"/>
          <w:sz w:val="24"/>
          <w:szCs w:val="24"/>
        </w:rPr>
        <w:t xml:space="preserve">Par ailleurs, le GRD a répondu favorablement à plusieurs </w:t>
      </w:r>
      <w:r w:rsidRPr="00EC71A0">
        <w:rPr>
          <w:rFonts w:ascii="Verdana" w:hAnsi="Verdana"/>
          <w:b/>
          <w:bCs/>
          <w:sz w:val="24"/>
          <w:szCs w:val="24"/>
        </w:rPr>
        <w:t>demandes de raccordement d’unités industrielles</w:t>
      </w:r>
      <w:r w:rsidRPr="00EC71A0">
        <w:rPr>
          <w:rFonts w:ascii="Verdana" w:hAnsi="Verdana"/>
          <w:sz w:val="24"/>
          <w:szCs w:val="24"/>
        </w:rPr>
        <w:t>, en adaptant localement le réseau MT pour garantir la puissance et la qualité de service nécessaires à ces consommateurs stratégiques. Ces projets s’inscrivent dans une dynamique régionale de développement économique, tout en imposant au réseau une résilience et une souplesse accrues.</w:t>
      </w:r>
    </w:p>
    <w:p w14:paraId="5F9D405B" w14:textId="77777777" w:rsidR="004449E8" w:rsidRDefault="004449E8" w:rsidP="003178BD">
      <w:pPr>
        <w:jc w:val="both"/>
        <w:rPr>
          <w:rFonts w:ascii="Verdana" w:hAnsi="Verdana"/>
          <w:sz w:val="24"/>
          <w:szCs w:val="24"/>
        </w:rPr>
      </w:pPr>
    </w:p>
    <w:p w14:paraId="0DF8CE7E" w14:textId="77777777" w:rsidR="00A2722C" w:rsidRDefault="00A2722C">
      <w:pPr>
        <w:rPr>
          <w:rFonts w:ascii="Verdana" w:hAnsi="Verdana"/>
          <w:b/>
          <w:sz w:val="32"/>
          <w:szCs w:val="32"/>
        </w:rPr>
      </w:pPr>
      <w:r>
        <w:rPr>
          <w:rFonts w:ascii="Verdana" w:hAnsi="Verdana"/>
          <w:b/>
          <w:sz w:val="32"/>
          <w:szCs w:val="32"/>
        </w:rPr>
        <w:br w:type="page"/>
      </w:r>
    </w:p>
    <w:p w14:paraId="4002FD94" w14:textId="5F95B976" w:rsidR="00806B13" w:rsidRDefault="00806B13" w:rsidP="00806B13">
      <w:pPr>
        <w:pStyle w:val="Paragraphedeliste"/>
        <w:numPr>
          <w:ilvl w:val="0"/>
          <w:numId w:val="1"/>
        </w:numPr>
        <w:rPr>
          <w:rFonts w:ascii="Verdana" w:hAnsi="Verdana"/>
          <w:b/>
          <w:sz w:val="32"/>
          <w:szCs w:val="32"/>
        </w:rPr>
      </w:pPr>
      <w:r w:rsidRPr="00727C90">
        <w:rPr>
          <w:rFonts w:ascii="Verdana" w:hAnsi="Verdana"/>
          <w:b/>
          <w:sz w:val="32"/>
          <w:szCs w:val="32"/>
        </w:rPr>
        <w:lastRenderedPageBreak/>
        <w:t>Actualisation des Plans en cours (Année</w:t>
      </w:r>
      <w:r>
        <w:rPr>
          <w:rFonts w:ascii="Verdana" w:hAnsi="Verdana"/>
          <w:b/>
          <w:sz w:val="32"/>
          <w:szCs w:val="32"/>
        </w:rPr>
        <w:t xml:space="preserve"> 2025</w:t>
      </w:r>
      <w:r w:rsidRPr="00727C90">
        <w:rPr>
          <w:rFonts w:ascii="Verdana" w:hAnsi="Verdana"/>
          <w:b/>
          <w:sz w:val="32"/>
          <w:szCs w:val="32"/>
        </w:rPr>
        <w:t>)</w:t>
      </w:r>
    </w:p>
    <w:p w14:paraId="766E2383" w14:textId="186DB4E9" w:rsidR="00EC71A0" w:rsidRPr="00EC71A0" w:rsidRDefault="00EC71A0" w:rsidP="00EC71A0">
      <w:pPr>
        <w:jc w:val="both"/>
        <w:rPr>
          <w:rFonts w:ascii="Verdana" w:hAnsi="Verdana"/>
          <w:sz w:val="24"/>
          <w:szCs w:val="24"/>
        </w:rPr>
      </w:pPr>
      <w:r w:rsidRPr="00EC71A0">
        <w:rPr>
          <w:rFonts w:ascii="Verdana" w:hAnsi="Verdana"/>
          <w:sz w:val="24"/>
          <w:szCs w:val="24"/>
        </w:rPr>
        <w:t xml:space="preserve">L’onglet </w:t>
      </w:r>
      <w:r w:rsidRPr="00EC71A0">
        <w:rPr>
          <w:rFonts w:ascii="Verdana" w:hAnsi="Verdana"/>
          <w:b/>
          <w:bCs/>
          <w:sz w:val="24"/>
          <w:szCs w:val="24"/>
        </w:rPr>
        <w:t>"new Tab 3_Actualisation N"</w:t>
      </w:r>
      <w:r w:rsidRPr="00EC71A0">
        <w:rPr>
          <w:rFonts w:ascii="Verdana" w:hAnsi="Verdana"/>
          <w:sz w:val="24"/>
          <w:szCs w:val="24"/>
        </w:rPr>
        <w:t xml:space="preserve"> du présent rapport fournit une vue détaillée et actualisée de l’ensemble des chantiers programmés ou amorcés en </w:t>
      </w:r>
      <w:r w:rsidRPr="00EC71A0">
        <w:rPr>
          <w:rFonts w:ascii="Verdana" w:hAnsi="Verdana"/>
          <w:b/>
          <w:bCs/>
          <w:sz w:val="24"/>
          <w:szCs w:val="24"/>
        </w:rPr>
        <w:t>202</w:t>
      </w:r>
      <w:r w:rsidR="00B244BB">
        <w:rPr>
          <w:rFonts w:ascii="Verdana" w:hAnsi="Verdana"/>
          <w:b/>
          <w:bCs/>
          <w:sz w:val="24"/>
          <w:szCs w:val="24"/>
        </w:rPr>
        <w:t>5</w:t>
      </w:r>
      <w:r w:rsidRPr="00EC71A0">
        <w:rPr>
          <w:rFonts w:ascii="Verdana" w:hAnsi="Verdana"/>
          <w:sz w:val="24"/>
          <w:szCs w:val="24"/>
        </w:rPr>
        <w:t xml:space="preserve">, dans la continuité du </w:t>
      </w:r>
      <w:r w:rsidRPr="00EC71A0">
        <w:rPr>
          <w:rFonts w:ascii="Verdana" w:hAnsi="Verdana"/>
          <w:b/>
          <w:bCs/>
          <w:sz w:val="24"/>
          <w:szCs w:val="24"/>
        </w:rPr>
        <w:t>plan d’adaptation 202</w:t>
      </w:r>
      <w:r w:rsidR="004A7BC7">
        <w:rPr>
          <w:rFonts w:ascii="Verdana" w:hAnsi="Verdana"/>
          <w:b/>
          <w:bCs/>
          <w:sz w:val="24"/>
          <w:szCs w:val="24"/>
        </w:rPr>
        <w:t>5</w:t>
      </w:r>
      <w:r w:rsidRPr="00EC71A0">
        <w:rPr>
          <w:rFonts w:ascii="Verdana" w:hAnsi="Verdana"/>
          <w:b/>
          <w:bCs/>
          <w:sz w:val="24"/>
          <w:szCs w:val="24"/>
        </w:rPr>
        <w:t>-202</w:t>
      </w:r>
      <w:r w:rsidR="00BE7645">
        <w:rPr>
          <w:rFonts w:ascii="Verdana" w:hAnsi="Verdana"/>
          <w:b/>
          <w:bCs/>
          <w:sz w:val="24"/>
          <w:szCs w:val="24"/>
        </w:rPr>
        <w:t>9</w:t>
      </w:r>
      <w:r w:rsidRPr="00EC71A0">
        <w:rPr>
          <w:rFonts w:ascii="Verdana" w:hAnsi="Verdana"/>
          <w:sz w:val="24"/>
          <w:szCs w:val="24"/>
        </w:rPr>
        <w:t xml:space="preserve">. Si la majorité de ces travaux étaient déjà prévus dans les documents de planification initiale, certaines opérations ont été ajoutées ou avancées en réponse à des contraintes terrain, notamment les </w:t>
      </w:r>
      <w:r w:rsidRPr="00EC71A0">
        <w:rPr>
          <w:rFonts w:ascii="Verdana" w:hAnsi="Verdana"/>
          <w:b/>
          <w:bCs/>
          <w:sz w:val="24"/>
          <w:szCs w:val="24"/>
        </w:rPr>
        <w:t>pannes récurrentes</w:t>
      </w:r>
      <w:r w:rsidRPr="00EC71A0">
        <w:rPr>
          <w:rFonts w:ascii="Verdana" w:hAnsi="Verdana"/>
          <w:sz w:val="24"/>
          <w:szCs w:val="24"/>
        </w:rPr>
        <w:t xml:space="preserve">, les </w:t>
      </w:r>
      <w:r w:rsidRPr="00EC71A0">
        <w:rPr>
          <w:rFonts w:ascii="Verdana" w:hAnsi="Verdana"/>
          <w:b/>
          <w:bCs/>
          <w:sz w:val="24"/>
          <w:szCs w:val="24"/>
        </w:rPr>
        <w:t>incidents d’exploitation</w:t>
      </w:r>
      <w:r w:rsidRPr="00EC71A0">
        <w:rPr>
          <w:rFonts w:ascii="Verdana" w:hAnsi="Verdana"/>
          <w:sz w:val="24"/>
          <w:szCs w:val="24"/>
        </w:rPr>
        <w:t xml:space="preserve">, ou dans le cadre de </w:t>
      </w:r>
      <w:r w:rsidRPr="00EC71A0">
        <w:rPr>
          <w:rFonts w:ascii="Verdana" w:hAnsi="Verdana"/>
          <w:b/>
          <w:bCs/>
          <w:sz w:val="24"/>
          <w:szCs w:val="24"/>
        </w:rPr>
        <w:t xml:space="preserve">synergies </w:t>
      </w:r>
      <w:proofErr w:type="spellStart"/>
      <w:r w:rsidRPr="00EC71A0">
        <w:rPr>
          <w:rFonts w:ascii="Verdana" w:hAnsi="Verdana"/>
          <w:b/>
          <w:bCs/>
          <w:sz w:val="24"/>
          <w:szCs w:val="24"/>
        </w:rPr>
        <w:t>POWALCo</w:t>
      </w:r>
      <w:proofErr w:type="spellEnd"/>
      <w:r w:rsidRPr="00EC71A0">
        <w:rPr>
          <w:rFonts w:ascii="Verdana" w:hAnsi="Verdana"/>
          <w:sz w:val="24"/>
          <w:szCs w:val="24"/>
        </w:rPr>
        <w:t>, en coordination avec d'autres gestionnaires d’infrastructures. Cette capacité d’adaptation garantit une meilleure efficacité opérationnelle et une rationalisation des interventions sur le réseau.</w:t>
      </w:r>
    </w:p>
    <w:p w14:paraId="1B5A4ABB" w14:textId="77777777" w:rsidR="00EC71A0" w:rsidRPr="00EC71A0" w:rsidRDefault="00EC71A0" w:rsidP="00EC71A0">
      <w:pPr>
        <w:jc w:val="both"/>
        <w:rPr>
          <w:rFonts w:ascii="Verdana" w:hAnsi="Verdana"/>
          <w:sz w:val="24"/>
          <w:szCs w:val="24"/>
        </w:rPr>
      </w:pPr>
      <w:r w:rsidRPr="00EC71A0">
        <w:rPr>
          <w:rFonts w:ascii="Verdana" w:hAnsi="Verdana"/>
          <w:sz w:val="24"/>
          <w:szCs w:val="24"/>
        </w:rPr>
        <w:t xml:space="preserve">En complément, des actions spécifiques sont également menées en matière de </w:t>
      </w:r>
      <w:r w:rsidRPr="00EC71A0">
        <w:rPr>
          <w:rFonts w:ascii="Verdana" w:hAnsi="Verdana"/>
          <w:b/>
          <w:bCs/>
          <w:sz w:val="24"/>
          <w:szCs w:val="24"/>
        </w:rPr>
        <w:t>télésurveillance</w:t>
      </w:r>
      <w:r w:rsidRPr="00EC71A0">
        <w:rPr>
          <w:rFonts w:ascii="Verdana" w:hAnsi="Verdana"/>
          <w:sz w:val="24"/>
          <w:szCs w:val="24"/>
        </w:rPr>
        <w:t xml:space="preserve">, de </w:t>
      </w:r>
      <w:r w:rsidRPr="00EC71A0">
        <w:rPr>
          <w:rFonts w:ascii="Verdana" w:hAnsi="Verdana"/>
          <w:b/>
          <w:bCs/>
          <w:sz w:val="24"/>
          <w:szCs w:val="24"/>
        </w:rPr>
        <w:t>pilotage des charges</w:t>
      </w:r>
      <w:r w:rsidRPr="00EC71A0">
        <w:rPr>
          <w:rFonts w:ascii="Verdana" w:hAnsi="Verdana"/>
          <w:sz w:val="24"/>
          <w:szCs w:val="24"/>
        </w:rPr>
        <w:t>, et d’</w:t>
      </w:r>
      <w:r w:rsidRPr="00EC71A0">
        <w:rPr>
          <w:rFonts w:ascii="Verdana" w:hAnsi="Verdana"/>
          <w:b/>
          <w:bCs/>
          <w:sz w:val="24"/>
          <w:szCs w:val="24"/>
        </w:rPr>
        <w:t>automatisation des postes</w:t>
      </w:r>
      <w:r w:rsidRPr="00EC71A0">
        <w:rPr>
          <w:rFonts w:ascii="Verdana" w:hAnsi="Verdana"/>
          <w:sz w:val="24"/>
          <w:szCs w:val="24"/>
        </w:rPr>
        <w:t xml:space="preserve">, contribuant à une gestion de plus en plus fine et proactive du réseau. Le GRD poursuit également son programme de </w:t>
      </w:r>
      <w:r w:rsidRPr="00EC71A0">
        <w:rPr>
          <w:rFonts w:ascii="Verdana" w:hAnsi="Verdana"/>
          <w:b/>
          <w:bCs/>
          <w:sz w:val="24"/>
          <w:szCs w:val="24"/>
        </w:rPr>
        <w:t>modernisation des cabines de transformation</w:t>
      </w:r>
      <w:r w:rsidRPr="00EC71A0">
        <w:rPr>
          <w:rFonts w:ascii="Verdana" w:hAnsi="Verdana"/>
          <w:sz w:val="24"/>
          <w:szCs w:val="24"/>
        </w:rPr>
        <w:t>, en remplaçant les équipements vieillissants par des dispositifs plus performants, compatibles avec les exigences futures du réseau intelligent.</w:t>
      </w:r>
    </w:p>
    <w:p w14:paraId="71F1A0F4" w14:textId="77777777" w:rsidR="00EC71A0" w:rsidRPr="00EC71A0" w:rsidRDefault="00EC71A0" w:rsidP="00EC71A0">
      <w:pPr>
        <w:jc w:val="both"/>
        <w:rPr>
          <w:rFonts w:ascii="Verdana" w:hAnsi="Verdana"/>
          <w:sz w:val="24"/>
          <w:szCs w:val="24"/>
        </w:rPr>
      </w:pPr>
      <w:r w:rsidRPr="00EC71A0">
        <w:rPr>
          <w:rFonts w:ascii="Verdana" w:hAnsi="Verdana"/>
          <w:sz w:val="24"/>
          <w:szCs w:val="24"/>
        </w:rPr>
        <w:t xml:space="preserve">Ainsi, les projets planifiés pour 2025 témoignent de la volonté d’assurer la </w:t>
      </w:r>
      <w:r w:rsidRPr="00EC71A0">
        <w:rPr>
          <w:rFonts w:ascii="Verdana" w:hAnsi="Verdana"/>
          <w:b/>
          <w:bCs/>
          <w:sz w:val="24"/>
          <w:szCs w:val="24"/>
        </w:rPr>
        <w:t>continuité d’alimentation</w:t>
      </w:r>
      <w:r w:rsidRPr="00EC71A0">
        <w:rPr>
          <w:rFonts w:ascii="Verdana" w:hAnsi="Verdana"/>
          <w:sz w:val="24"/>
          <w:szCs w:val="24"/>
        </w:rPr>
        <w:t xml:space="preserve">, tout en </w:t>
      </w:r>
      <w:r w:rsidRPr="00EC71A0">
        <w:rPr>
          <w:rFonts w:ascii="Verdana" w:hAnsi="Verdana"/>
          <w:b/>
          <w:bCs/>
          <w:sz w:val="24"/>
          <w:szCs w:val="24"/>
        </w:rPr>
        <w:t>préparant le réseau aux enjeux futurs</w:t>
      </w:r>
      <w:r w:rsidRPr="00EC71A0">
        <w:rPr>
          <w:rFonts w:ascii="Verdana" w:hAnsi="Verdana"/>
          <w:sz w:val="24"/>
          <w:szCs w:val="24"/>
        </w:rPr>
        <w:t>, à savoir : flexibilité, décarbonation, et digitalisation.</w:t>
      </w:r>
    </w:p>
    <w:p w14:paraId="280F6976" w14:textId="77777777" w:rsidR="00EC71A0" w:rsidRDefault="00EC71A0" w:rsidP="005F69F5">
      <w:pPr>
        <w:jc w:val="both"/>
        <w:rPr>
          <w:rFonts w:ascii="Verdana" w:hAnsi="Verdana"/>
          <w:sz w:val="24"/>
          <w:szCs w:val="24"/>
        </w:rPr>
      </w:pPr>
    </w:p>
    <w:p w14:paraId="1A762F24" w14:textId="77777777" w:rsidR="00806B13" w:rsidRDefault="00806B13" w:rsidP="005F69F5">
      <w:pPr>
        <w:jc w:val="both"/>
        <w:rPr>
          <w:rFonts w:ascii="Verdana" w:hAnsi="Verdana"/>
          <w:sz w:val="24"/>
          <w:szCs w:val="24"/>
        </w:rPr>
      </w:pPr>
    </w:p>
    <w:p w14:paraId="0525A32E" w14:textId="77777777" w:rsidR="000B01EA" w:rsidRDefault="000B01EA">
      <w:pPr>
        <w:rPr>
          <w:rFonts w:ascii="Verdana" w:hAnsi="Verdana"/>
          <w:b/>
          <w:sz w:val="32"/>
          <w:szCs w:val="32"/>
        </w:rPr>
      </w:pPr>
      <w:r>
        <w:rPr>
          <w:rFonts w:ascii="Verdana" w:hAnsi="Verdana"/>
          <w:b/>
          <w:sz w:val="32"/>
          <w:szCs w:val="32"/>
        </w:rPr>
        <w:br w:type="page"/>
      </w:r>
    </w:p>
    <w:p w14:paraId="3B189D5C" w14:textId="54095599" w:rsidR="00806B13" w:rsidRPr="00061E28" w:rsidRDefault="006B41F9" w:rsidP="008C7079">
      <w:pPr>
        <w:pStyle w:val="Paragraphedeliste"/>
        <w:numPr>
          <w:ilvl w:val="0"/>
          <w:numId w:val="1"/>
        </w:numPr>
        <w:jc w:val="both"/>
        <w:rPr>
          <w:rFonts w:ascii="Verdana" w:hAnsi="Verdana"/>
          <w:sz w:val="24"/>
          <w:szCs w:val="24"/>
        </w:rPr>
      </w:pPr>
      <w:r w:rsidRPr="006B41F9">
        <w:rPr>
          <w:rFonts w:ascii="Verdana" w:hAnsi="Verdana"/>
          <w:b/>
          <w:sz w:val="32"/>
          <w:szCs w:val="32"/>
        </w:rPr>
        <w:lastRenderedPageBreak/>
        <w:t>IDENTIFICATION DES OBJECTIFS ET PERSPECTIVES MACROÉCONOMIQUES</w:t>
      </w:r>
    </w:p>
    <w:p w14:paraId="47FE98CD" w14:textId="77777777" w:rsidR="00061E28" w:rsidRPr="006B41F9" w:rsidRDefault="00061E28" w:rsidP="00061E28">
      <w:pPr>
        <w:pStyle w:val="Paragraphedeliste"/>
        <w:ind w:left="555"/>
        <w:jc w:val="both"/>
        <w:rPr>
          <w:rFonts w:ascii="Verdana" w:hAnsi="Verdana"/>
          <w:sz w:val="24"/>
          <w:szCs w:val="24"/>
        </w:rPr>
      </w:pPr>
    </w:p>
    <w:p w14:paraId="54457FC1" w14:textId="41BE7BC6" w:rsidR="006B41F9" w:rsidRPr="00534264" w:rsidRDefault="00061E28" w:rsidP="00DD6506">
      <w:pPr>
        <w:pStyle w:val="AIEG2"/>
      </w:pPr>
      <w:proofErr w:type="spellStart"/>
      <w:r w:rsidRPr="00534264">
        <w:t>Hypothéses</w:t>
      </w:r>
      <w:proofErr w:type="spellEnd"/>
      <w:r w:rsidRPr="00534264">
        <w:t xml:space="preserve"> retenues </w:t>
      </w:r>
    </w:p>
    <w:p w14:paraId="59D729B8" w14:textId="2E9EEADD" w:rsidR="008A54F2" w:rsidRPr="00B91865" w:rsidRDefault="008A54F2" w:rsidP="008A54F2">
      <w:pPr>
        <w:rPr>
          <w:rFonts w:ascii="Verdana" w:hAnsi="Verdana"/>
          <w:sz w:val="24"/>
          <w:szCs w:val="24"/>
        </w:rPr>
      </w:pPr>
      <w:r w:rsidRPr="00B91865">
        <w:rPr>
          <w:rFonts w:ascii="Verdana" w:hAnsi="Verdana"/>
          <w:sz w:val="24"/>
          <w:szCs w:val="24"/>
        </w:rPr>
        <w:t>Dans l’élaboration de son plan d’adaptation, l’AIEG s’appuie sur un ensemble d’</w:t>
      </w:r>
      <w:r w:rsidRPr="00B91865">
        <w:rPr>
          <w:rFonts w:ascii="Verdana" w:hAnsi="Verdana"/>
          <w:b/>
          <w:bCs/>
          <w:sz w:val="24"/>
          <w:szCs w:val="24"/>
        </w:rPr>
        <w:t>hypothèses techniques, réglementaires et territoriales</w:t>
      </w:r>
      <w:r w:rsidRPr="00B91865">
        <w:rPr>
          <w:rFonts w:ascii="Verdana" w:hAnsi="Verdana"/>
          <w:sz w:val="24"/>
          <w:szCs w:val="24"/>
        </w:rPr>
        <w:t xml:space="preserve">, qui orientent ses investissements et ses priorités opérationnelles. Ces hypothèses sont issues à la fois de </w:t>
      </w:r>
      <w:r w:rsidRPr="00B91865">
        <w:rPr>
          <w:rFonts w:ascii="Verdana" w:hAnsi="Verdana"/>
          <w:b/>
          <w:bCs/>
          <w:sz w:val="24"/>
          <w:szCs w:val="24"/>
        </w:rPr>
        <w:t>référentiels externes</w:t>
      </w:r>
      <w:r w:rsidRPr="00B91865">
        <w:rPr>
          <w:rFonts w:ascii="Verdana" w:hAnsi="Verdana"/>
          <w:sz w:val="24"/>
          <w:szCs w:val="24"/>
        </w:rPr>
        <w:t xml:space="preserve"> (textes législatifs, études territoriales, directives européennes) et d’</w:t>
      </w:r>
      <w:r w:rsidRPr="00B91865">
        <w:rPr>
          <w:rFonts w:ascii="Verdana" w:hAnsi="Verdana"/>
          <w:b/>
          <w:bCs/>
          <w:sz w:val="24"/>
          <w:szCs w:val="24"/>
        </w:rPr>
        <w:t>analyses internes</w:t>
      </w:r>
      <w:r w:rsidRPr="00B91865">
        <w:rPr>
          <w:rFonts w:ascii="Verdana" w:hAnsi="Verdana"/>
          <w:sz w:val="24"/>
          <w:szCs w:val="24"/>
        </w:rPr>
        <w:t xml:space="preserve"> basées sur l’état réel du réseau, les tendances de consommation, les comportements utilisateurs et l’évolution de la production décentralisée.</w:t>
      </w:r>
    </w:p>
    <w:p w14:paraId="2E686936" w14:textId="77777777" w:rsidR="008A54F2" w:rsidRPr="00B91865" w:rsidRDefault="008A54F2" w:rsidP="008A54F2">
      <w:pPr>
        <w:rPr>
          <w:rFonts w:ascii="Verdana" w:hAnsi="Verdana"/>
          <w:sz w:val="24"/>
          <w:szCs w:val="24"/>
        </w:rPr>
      </w:pPr>
      <w:r w:rsidRPr="00B91865">
        <w:rPr>
          <w:rFonts w:ascii="Verdana" w:hAnsi="Verdana"/>
          <w:sz w:val="24"/>
          <w:szCs w:val="24"/>
        </w:rPr>
        <w:t xml:space="preserve">Parmi les </w:t>
      </w:r>
      <w:r w:rsidRPr="00B91865">
        <w:rPr>
          <w:rFonts w:ascii="Verdana" w:hAnsi="Verdana"/>
          <w:b/>
          <w:bCs/>
          <w:sz w:val="24"/>
          <w:szCs w:val="24"/>
        </w:rPr>
        <w:t>hypothèses principales retenues</w:t>
      </w:r>
      <w:r w:rsidRPr="00B91865">
        <w:rPr>
          <w:rFonts w:ascii="Verdana" w:hAnsi="Verdana"/>
          <w:sz w:val="24"/>
          <w:szCs w:val="24"/>
        </w:rPr>
        <w:t>, on peut citer :</w:t>
      </w:r>
    </w:p>
    <w:p w14:paraId="76991B19" w14:textId="77777777" w:rsidR="008A54F2" w:rsidRPr="00B91865" w:rsidRDefault="008A54F2" w:rsidP="00BE462E">
      <w:pPr>
        <w:numPr>
          <w:ilvl w:val="0"/>
          <w:numId w:val="40"/>
        </w:numPr>
        <w:jc w:val="both"/>
        <w:rPr>
          <w:rFonts w:ascii="Verdana" w:hAnsi="Verdana"/>
          <w:sz w:val="24"/>
          <w:szCs w:val="24"/>
        </w:rPr>
      </w:pPr>
      <w:r w:rsidRPr="00B91865">
        <w:rPr>
          <w:rFonts w:ascii="Verdana" w:hAnsi="Verdana"/>
          <w:sz w:val="24"/>
          <w:szCs w:val="24"/>
        </w:rPr>
        <w:t xml:space="preserve">Le </w:t>
      </w:r>
      <w:r w:rsidRPr="00B91865">
        <w:rPr>
          <w:rFonts w:ascii="Verdana" w:hAnsi="Verdana"/>
          <w:b/>
          <w:bCs/>
          <w:sz w:val="24"/>
          <w:szCs w:val="24"/>
        </w:rPr>
        <w:t>renforcement et le remplacement systématique des tronçons vétustes</w:t>
      </w:r>
      <w:r w:rsidRPr="00B91865">
        <w:rPr>
          <w:rFonts w:ascii="Verdana" w:hAnsi="Verdana"/>
          <w:sz w:val="24"/>
          <w:szCs w:val="24"/>
        </w:rPr>
        <w:t xml:space="preserve"> du réseau MT et BT, identifiés sur base des historiques de pannes, de l’état matériel (câbles papier-plomb, conducteurs cuivre nu, postes aériens en bois) et des visites d’organismes agréés. Le maintien d’un niveau de vétusté maîtrisé est une hypothèse de base essentielle pour garantir la fiabilité du réseau sans surinvestissement structurel.</w:t>
      </w:r>
    </w:p>
    <w:p w14:paraId="6AB19028" w14:textId="77777777" w:rsidR="008A54F2" w:rsidRPr="00B91865" w:rsidRDefault="008A54F2" w:rsidP="00BE462E">
      <w:pPr>
        <w:numPr>
          <w:ilvl w:val="0"/>
          <w:numId w:val="40"/>
        </w:numPr>
        <w:jc w:val="both"/>
        <w:rPr>
          <w:rFonts w:ascii="Verdana" w:hAnsi="Verdana"/>
          <w:sz w:val="24"/>
          <w:szCs w:val="24"/>
        </w:rPr>
      </w:pPr>
      <w:r w:rsidRPr="00B91865">
        <w:rPr>
          <w:rFonts w:ascii="Verdana" w:hAnsi="Verdana"/>
          <w:sz w:val="24"/>
          <w:szCs w:val="24"/>
        </w:rPr>
        <w:t xml:space="preserve">La </w:t>
      </w:r>
      <w:r w:rsidRPr="00B91865">
        <w:rPr>
          <w:rFonts w:ascii="Verdana" w:hAnsi="Verdana"/>
          <w:b/>
          <w:bCs/>
          <w:sz w:val="24"/>
          <w:szCs w:val="24"/>
        </w:rPr>
        <w:t>généralisation de l’automatisation des cabines MT/BT</w:t>
      </w:r>
      <w:r w:rsidRPr="00B91865">
        <w:rPr>
          <w:rFonts w:ascii="Verdana" w:hAnsi="Verdana"/>
          <w:sz w:val="24"/>
          <w:szCs w:val="24"/>
        </w:rPr>
        <w:t>, avec l’intégration de RTU (</w:t>
      </w:r>
      <w:proofErr w:type="spellStart"/>
      <w:r w:rsidRPr="00B91865">
        <w:rPr>
          <w:rFonts w:ascii="Verdana" w:hAnsi="Verdana"/>
          <w:sz w:val="24"/>
          <w:szCs w:val="24"/>
        </w:rPr>
        <w:t>Remote</w:t>
      </w:r>
      <w:proofErr w:type="spellEnd"/>
      <w:r w:rsidRPr="00B91865">
        <w:rPr>
          <w:rFonts w:ascii="Verdana" w:hAnsi="Verdana"/>
          <w:sz w:val="24"/>
          <w:szCs w:val="24"/>
        </w:rPr>
        <w:t xml:space="preserve"> Terminal </w:t>
      </w:r>
      <w:proofErr w:type="spellStart"/>
      <w:r w:rsidRPr="00B91865">
        <w:rPr>
          <w:rFonts w:ascii="Verdana" w:hAnsi="Verdana"/>
          <w:sz w:val="24"/>
          <w:szCs w:val="24"/>
        </w:rPr>
        <w:t>Units</w:t>
      </w:r>
      <w:proofErr w:type="spellEnd"/>
      <w:r w:rsidRPr="00B91865">
        <w:rPr>
          <w:rFonts w:ascii="Verdana" w:hAnsi="Verdana"/>
          <w:sz w:val="24"/>
          <w:szCs w:val="24"/>
        </w:rPr>
        <w:t>), la télémesure, la télécommande des disjoncteurs et des cellules MT, ainsi que la surveillance des conditions ambiantes (température, humidité, pression). Cette modernisation vise à améliorer la résilience, réduire les temps d'intervention et préparer le réseau à un pilotage intelligent.</w:t>
      </w:r>
    </w:p>
    <w:p w14:paraId="38F434F5" w14:textId="77777777" w:rsidR="008A54F2" w:rsidRPr="00B91865" w:rsidRDefault="008A54F2" w:rsidP="00BE462E">
      <w:pPr>
        <w:numPr>
          <w:ilvl w:val="0"/>
          <w:numId w:val="40"/>
        </w:numPr>
        <w:jc w:val="both"/>
        <w:rPr>
          <w:rFonts w:ascii="Verdana" w:hAnsi="Verdana"/>
          <w:sz w:val="24"/>
          <w:szCs w:val="24"/>
        </w:rPr>
      </w:pPr>
      <w:r w:rsidRPr="00B91865">
        <w:rPr>
          <w:rFonts w:ascii="Verdana" w:hAnsi="Verdana"/>
          <w:sz w:val="24"/>
          <w:szCs w:val="24"/>
        </w:rPr>
        <w:t xml:space="preserve">La </w:t>
      </w:r>
      <w:r w:rsidRPr="00B91865">
        <w:rPr>
          <w:rFonts w:ascii="Verdana" w:hAnsi="Verdana"/>
          <w:b/>
          <w:bCs/>
          <w:sz w:val="24"/>
          <w:szCs w:val="24"/>
        </w:rPr>
        <w:t>standardisation vers le haut des puissances nominales des transformateurs</w:t>
      </w:r>
      <w:r w:rsidRPr="00B91865">
        <w:rPr>
          <w:rFonts w:ascii="Verdana" w:hAnsi="Verdana"/>
          <w:sz w:val="24"/>
          <w:szCs w:val="24"/>
        </w:rPr>
        <w:t xml:space="preserve"> lors des remplacements. Plutôt que de remplacer à l’identique, l’AIEG adopte une approche anticipative, installant des transformateurs de capacité supérieure (ex. passage de 250 à 400 kVA), afin d’absorber les pointes de charge liées à l’électrification des usages (pompes à chaleur, bornes VE, etc.).</w:t>
      </w:r>
    </w:p>
    <w:p w14:paraId="0BA08076" w14:textId="77777777" w:rsidR="008A54F2" w:rsidRPr="00B91865" w:rsidRDefault="008A54F2" w:rsidP="00BE462E">
      <w:pPr>
        <w:numPr>
          <w:ilvl w:val="0"/>
          <w:numId w:val="40"/>
        </w:numPr>
        <w:jc w:val="both"/>
        <w:rPr>
          <w:rFonts w:ascii="Verdana" w:hAnsi="Verdana"/>
          <w:sz w:val="24"/>
          <w:szCs w:val="24"/>
        </w:rPr>
      </w:pPr>
      <w:r w:rsidRPr="00B91865">
        <w:rPr>
          <w:rFonts w:ascii="Verdana" w:hAnsi="Verdana"/>
          <w:sz w:val="24"/>
          <w:szCs w:val="24"/>
        </w:rPr>
        <w:t xml:space="preserve">L’intégration progressive des objectifs du </w:t>
      </w:r>
      <w:r w:rsidRPr="00B91865">
        <w:rPr>
          <w:rFonts w:ascii="Verdana" w:hAnsi="Verdana"/>
          <w:b/>
          <w:bCs/>
          <w:sz w:val="24"/>
          <w:szCs w:val="24"/>
        </w:rPr>
        <w:t>PACE (Plan Air-Climat-Énergie wallon)</w:t>
      </w:r>
      <w:r w:rsidRPr="00B91865">
        <w:rPr>
          <w:rFonts w:ascii="Verdana" w:hAnsi="Verdana"/>
          <w:sz w:val="24"/>
          <w:szCs w:val="24"/>
        </w:rPr>
        <w:t>, notamment en termes de capacité d’accueil pour la production renouvelable et de performance énergétique du réseau. Cette référence est utilisée pour ajuster les marges de capacité et dimensionner les nouvelles infrastructures.</w:t>
      </w:r>
    </w:p>
    <w:p w14:paraId="276CE019" w14:textId="77777777" w:rsidR="008A54F2" w:rsidRPr="00B91865" w:rsidRDefault="008A54F2" w:rsidP="00BE462E">
      <w:pPr>
        <w:numPr>
          <w:ilvl w:val="0"/>
          <w:numId w:val="40"/>
        </w:numPr>
        <w:jc w:val="both"/>
        <w:rPr>
          <w:rFonts w:ascii="Verdana" w:hAnsi="Verdana"/>
          <w:sz w:val="24"/>
          <w:szCs w:val="24"/>
        </w:rPr>
      </w:pPr>
      <w:r w:rsidRPr="00B91865">
        <w:rPr>
          <w:rFonts w:ascii="Verdana" w:hAnsi="Verdana"/>
          <w:sz w:val="24"/>
          <w:szCs w:val="24"/>
        </w:rPr>
        <w:lastRenderedPageBreak/>
        <w:t xml:space="preserve">L’adoption d’un principe de </w:t>
      </w:r>
      <w:r w:rsidRPr="00B91865">
        <w:rPr>
          <w:rFonts w:ascii="Verdana" w:hAnsi="Verdana"/>
          <w:b/>
          <w:bCs/>
          <w:sz w:val="24"/>
          <w:szCs w:val="24"/>
        </w:rPr>
        <w:t>synergie inter-opérateurs (</w:t>
      </w:r>
      <w:proofErr w:type="spellStart"/>
      <w:r w:rsidRPr="00B91865">
        <w:rPr>
          <w:rFonts w:ascii="Verdana" w:hAnsi="Verdana"/>
          <w:b/>
          <w:bCs/>
          <w:sz w:val="24"/>
          <w:szCs w:val="24"/>
        </w:rPr>
        <w:t>POWALCo</w:t>
      </w:r>
      <w:proofErr w:type="spellEnd"/>
      <w:r w:rsidRPr="00B91865">
        <w:rPr>
          <w:rFonts w:ascii="Verdana" w:hAnsi="Verdana"/>
          <w:b/>
          <w:bCs/>
          <w:sz w:val="24"/>
          <w:szCs w:val="24"/>
        </w:rPr>
        <w:t>)</w:t>
      </w:r>
      <w:r w:rsidRPr="00B91865">
        <w:rPr>
          <w:rFonts w:ascii="Verdana" w:hAnsi="Verdana"/>
          <w:sz w:val="24"/>
          <w:szCs w:val="24"/>
        </w:rPr>
        <w:t xml:space="preserve"> dans la planification des travaux, avec un alignement sur les projets communaux d’embellissement, d’urbanisation ou de réfection de voirie, permettant de mutualiser les coûts d’enfouissement et de renouvellement.</w:t>
      </w:r>
    </w:p>
    <w:p w14:paraId="16DDDF86" w14:textId="77777777" w:rsidR="008A54F2" w:rsidRPr="00B91865" w:rsidRDefault="008A54F2" w:rsidP="00BE462E">
      <w:pPr>
        <w:numPr>
          <w:ilvl w:val="0"/>
          <w:numId w:val="40"/>
        </w:numPr>
        <w:jc w:val="both"/>
        <w:rPr>
          <w:rFonts w:ascii="Verdana" w:hAnsi="Verdana"/>
          <w:sz w:val="24"/>
          <w:szCs w:val="24"/>
        </w:rPr>
      </w:pPr>
      <w:r w:rsidRPr="00B91865">
        <w:rPr>
          <w:rFonts w:ascii="Verdana" w:hAnsi="Verdana"/>
          <w:sz w:val="24"/>
          <w:szCs w:val="24"/>
        </w:rPr>
        <w:t xml:space="preserve">La </w:t>
      </w:r>
      <w:r w:rsidRPr="00B91865">
        <w:rPr>
          <w:rFonts w:ascii="Verdana" w:hAnsi="Verdana"/>
          <w:b/>
          <w:bCs/>
          <w:sz w:val="24"/>
          <w:szCs w:val="24"/>
        </w:rPr>
        <w:t>prise en compte anticipée des Zones d’Accélération</w:t>
      </w:r>
      <w:r w:rsidRPr="00B91865">
        <w:rPr>
          <w:rFonts w:ascii="Verdana" w:hAnsi="Verdana"/>
          <w:sz w:val="24"/>
          <w:szCs w:val="24"/>
        </w:rPr>
        <w:t xml:space="preserve"> prévues par la directive européenne </w:t>
      </w:r>
      <w:r w:rsidRPr="00B91865">
        <w:rPr>
          <w:rFonts w:ascii="Verdana" w:hAnsi="Verdana"/>
          <w:b/>
          <w:bCs/>
          <w:sz w:val="24"/>
          <w:szCs w:val="24"/>
        </w:rPr>
        <w:t>RED III</w:t>
      </w:r>
      <w:r w:rsidRPr="00B91865">
        <w:rPr>
          <w:rFonts w:ascii="Verdana" w:hAnsi="Verdana"/>
          <w:sz w:val="24"/>
          <w:szCs w:val="24"/>
        </w:rPr>
        <w:t>, même si leur périmètre n’est pas encore stabilisé. L’AIEG identifie les zones à potentiel élevé pour le photovoltaïque ou les infrastructures énergétiques (ZAE, lotissements récents), et projette des renforcements à moyen terme.</w:t>
      </w:r>
    </w:p>
    <w:p w14:paraId="58D4D33F" w14:textId="77777777" w:rsidR="008A54F2" w:rsidRPr="00B91865" w:rsidRDefault="008A54F2" w:rsidP="00BE462E">
      <w:pPr>
        <w:jc w:val="both"/>
        <w:rPr>
          <w:rFonts w:ascii="Verdana" w:hAnsi="Verdana"/>
          <w:sz w:val="24"/>
          <w:szCs w:val="24"/>
        </w:rPr>
      </w:pPr>
      <w:r w:rsidRPr="00B91865">
        <w:rPr>
          <w:rFonts w:ascii="Verdana" w:hAnsi="Verdana"/>
          <w:sz w:val="24"/>
          <w:szCs w:val="24"/>
        </w:rPr>
        <w:t xml:space="preserve">Certaines hypothèses </w:t>
      </w:r>
      <w:r w:rsidRPr="00B91865">
        <w:rPr>
          <w:rFonts w:ascii="Verdana" w:hAnsi="Verdana"/>
          <w:b/>
          <w:bCs/>
          <w:sz w:val="24"/>
          <w:szCs w:val="24"/>
        </w:rPr>
        <w:t>non retenues</w:t>
      </w:r>
      <w:r w:rsidRPr="00B91865">
        <w:rPr>
          <w:rFonts w:ascii="Verdana" w:hAnsi="Verdana"/>
          <w:sz w:val="24"/>
          <w:szCs w:val="24"/>
        </w:rPr>
        <w:t xml:space="preserve"> ou partiellement prises en compte à ce stade font toutefois l’objet d’une </w:t>
      </w:r>
      <w:r w:rsidRPr="00B91865">
        <w:rPr>
          <w:rFonts w:ascii="Verdana" w:hAnsi="Verdana"/>
          <w:b/>
          <w:bCs/>
          <w:sz w:val="24"/>
          <w:szCs w:val="24"/>
        </w:rPr>
        <w:t>surveillance active</w:t>
      </w:r>
      <w:r w:rsidRPr="00B91865">
        <w:rPr>
          <w:rFonts w:ascii="Verdana" w:hAnsi="Verdana"/>
          <w:sz w:val="24"/>
          <w:szCs w:val="24"/>
        </w:rPr>
        <w:t xml:space="preserve">. Par exemple, l’AIEG n’intègre pas encore dans sa planification un déploiement massif de stockage résidentiel ou d’autoconsommation collective à grande échelle, en l’absence de cadre légal clair. Toutefois, un tel scénario est considéré comme un </w:t>
      </w:r>
      <w:r w:rsidRPr="00B91865">
        <w:rPr>
          <w:rFonts w:ascii="Verdana" w:hAnsi="Verdana"/>
          <w:b/>
          <w:bCs/>
          <w:sz w:val="24"/>
          <w:szCs w:val="24"/>
        </w:rPr>
        <w:t>risque prospectif</w:t>
      </w:r>
      <w:r w:rsidRPr="00B91865">
        <w:rPr>
          <w:rFonts w:ascii="Verdana" w:hAnsi="Verdana"/>
          <w:sz w:val="24"/>
          <w:szCs w:val="24"/>
        </w:rPr>
        <w:t>, susceptible d’impacter fortement les flux et les profils de charge BT. Un suivi annuel est réalisé à travers les données de comptage et les tendances nationales, et une révision du plan est prévue en cas de changement rapide.</w:t>
      </w:r>
    </w:p>
    <w:p w14:paraId="77B9013C" w14:textId="77777777" w:rsidR="008A54F2" w:rsidRPr="00B91865" w:rsidRDefault="008A54F2" w:rsidP="00BE462E">
      <w:pPr>
        <w:jc w:val="both"/>
        <w:rPr>
          <w:rFonts w:ascii="Verdana" w:hAnsi="Verdana"/>
          <w:sz w:val="24"/>
          <w:szCs w:val="24"/>
        </w:rPr>
      </w:pPr>
      <w:r w:rsidRPr="00B91865">
        <w:rPr>
          <w:rFonts w:ascii="Verdana" w:hAnsi="Verdana"/>
          <w:sz w:val="24"/>
          <w:szCs w:val="24"/>
        </w:rPr>
        <w:t xml:space="preserve">Toutes les hypothèses retenues font l’objet d’une </w:t>
      </w:r>
      <w:r w:rsidRPr="00B91865">
        <w:rPr>
          <w:rFonts w:ascii="Verdana" w:hAnsi="Verdana"/>
          <w:b/>
          <w:bCs/>
          <w:sz w:val="24"/>
          <w:szCs w:val="24"/>
        </w:rPr>
        <w:t>actualisation annuelle</w:t>
      </w:r>
      <w:r w:rsidRPr="00B91865">
        <w:rPr>
          <w:rFonts w:ascii="Verdana" w:hAnsi="Verdana"/>
          <w:sz w:val="24"/>
          <w:szCs w:val="24"/>
        </w:rPr>
        <w:t xml:space="preserve"> lors de la révision du plan d’adaptation. Les mises à jour sont clairement identifiées et justifiées en lien avec l’évolution des contextes réglementaire, technique ou local.</w:t>
      </w:r>
    </w:p>
    <w:p w14:paraId="62402332" w14:textId="77777777" w:rsidR="00E618FD" w:rsidRDefault="00E618FD" w:rsidP="00E56CEC">
      <w:pPr>
        <w:pStyle w:val="AIEG1"/>
        <w:numPr>
          <w:ilvl w:val="0"/>
          <w:numId w:val="0"/>
        </w:numPr>
        <w:ind w:left="555" w:hanging="555"/>
        <w:rPr>
          <w:b w:val="0"/>
          <w:color w:val="auto"/>
          <w:sz w:val="24"/>
          <w:szCs w:val="24"/>
        </w:rPr>
      </w:pPr>
    </w:p>
    <w:p w14:paraId="4C006F06" w14:textId="32B3943B" w:rsidR="00061E28" w:rsidRDefault="00061E28" w:rsidP="00DD6506">
      <w:pPr>
        <w:pStyle w:val="AIEG2"/>
      </w:pPr>
      <w:r>
        <w:t xml:space="preserve">Identification nouveaux usages </w:t>
      </w:r>
    </w:p>
    <w:p w14:paraId="70E54CBF" w14:textId="77777777" w:rsidR="00815EB7" w:rsidRDefault="00815EB7" w:rsidP="00815EB7">
      <w:pPr>
        <w:pStyle w:val="AIEG2"/>
        <w:numPr>
          <w:ilvl w:val="0"/>
          <w:numId w:val="0"/>
        </w:numPr>
      </w:pPr>
    </w:p>
    <w:p w14:paraId="398C9386" w14:textId="77777777" w:rsidR="00815EB7" w:rsidRPr="00BE462E" w:rsidRDefault="00815EB7" w:rsidP="00BE462E">
      <w:pPr>
        <w:jc w:val="both"/>
        <w:rPr>
          <w:rFonts w:ascii="Verdana" w:hAnsi="Verdana"/>
          <w:sz w:val="24"/>
          <w:szCs w:val="24"/>
        </w:rPr>
      </w:pPr>
      <w:r w:rsidRPr="00BE462E">
        <w:rPr>
          <w:rFonts w:ascii="Verdana" w:hAnsi="Verdana"/>
          <w:sz w:val="24"/>
          <w:szCs w:val="24"/>
        </w:rPr>
        <w:t xml:space="preserve">Dans le cadre de la planification de son réseau, l’AIEG identifie et suit activement les </w:t>
      </w:r>
      <w:r w:rsidRPr="00BE462E">
        <w:rPr>
          <w:rFonts w:ascii="Verdana" w:hAnsi="Verdana"/>
          <w:b/>
          <w:bCs/>
          <w:sz w:val="24"/>
          <w:szCs w:val="24"/>
        </w:rPr>
        <w:t>nouveaux usages énergétiques</w:t>
      </w:r>
      <w:r w:rsidRPr="00BE462E">
        <w:rPr>
          <w:rFonts w:ascii="Verdana" w:hAnsi="Verdana"/>
          <w:sz w:val="24"/>
          <w:szCs w:val="24"/>
        </w:rPr>
        <w:t xml:space="preserve"> qui influencent, de manière croissante, les </w:t>
      </w:r>
      <w:r w:rsidRPr="00BE462E">
        <w:rPr>
          <w:rFonts w:ascii="Verdana" w:hAnsi="Verdana"/>
          <w:b/>
          <w:bCs/>
          <w:sz w:val="24"/>
          <w:szCs w:val="24"/>
        </w:rPr>
        <w:t>profils de charge</w:t>
      </w:r>
      <w:r w:rsidRPr="00BE462E">
        <w:rPr>
          <w:rFonts w:ascii="Verdana" w:hAnsi="Verdana"/>
          <w:sz w:val="24"/>
          <w:szCs w:val="24"/>
        </w:rPr>
        <w:t xml:space="preserve"> et la </w:t>
      </w:r>
      <w:r w:rsidRPr="00BE462E">
        <w:rPr>
          <w:rFonts w:ascii="Verdana" w:hAnsi="Verdana"/>
          <w:b/>
          <w:bCs/>
          <w:sz w:val="24"/>
          <w:szCs w:val="24"/>
        </w:rPr>
        <w:t>topologie des flux électriques</w:t>
      </w:r>
      <w:r w:rsidRPr="00BE462E">
        <w:rPr>
          <w:rFonts w:ascii="Verdana" w:hAnsi="Verdana"/>
          <w:sz w:val="24"/>
          <w:szCs w:val="24"/>
        </w:rPr>
        <w:t xml:space="preserve">. Ces usages émergents ont des impacts significatifs sur les infrastructures BT et MT, tant en termes de </w:t>
      </w:r>
      <w:r w:rsidRPr="00BE462E">
        <w:rPr>
          <w:rFonts w:ascii="Verdana" w:hAnsi="Verdana"/>
          <w:b/>
          <w:bCs/>
          <w:sz w:val="24"/>
          <w:szCs w:val="24"/>
        </w:rPr>
        <w:t>dimensionnement</w:t>
      </w:r>
      <w:r w:rsidRPr="00BE462E">
        <w:rPr>
          <w:rFonts w:ascii="Verdana" w:hAnsi="Verdana"/>
          <w:sz w:val="24"/>
          <w:szCs w:val="24"/>
        </w:rPr>
        <w:t xml:space="preserve">, que de </w:t>
      </w:r>
      <w:r w:rsidRPr="00BE462E">
        <w:rPr>
          <w:rFonts w:ascii="Verdana" w:hAnsi="Verdana"/>
          <w:b/>
          <w:bCs/>
          <w:sz w:val="24"/>
          <w:szCs w:val="24"/>
        </w:rPr>
        <w:t>flexibilité</w:t>
      </w:r>
      <w:r w:rsidRPr="00BE462E">
        <w:rPr>
          <w:rFonts w:ascii="Verdana" w:hAnsi="Verdana"/>
          <w:sz w:val="24"/>
          <w:szCs w:val="24"/>
        </w:rPr>
        <w:t xml:space="preserve"> et de </w:t>
      </w:r>
      <w:r w:rsidRPr="00BE462E">
        <w:rPr>
          <w:rFonts w:ascii="Verdana" w:hAnsi="Verdana"/>
          <w:b/>
          <w:bCs/>
          <w:sz w:val="24"/>
          <w:szCs w:val="24"/>
        </w:rPr>
        <w:t>résilience</w:t>
      </w:r>
      <w:r w:rsidRPr="00BE462E">
        <w:rPr>
          <w:rFonts w:ascii="Verdana" w:hAnsi="Verdana"/>
          <w:sz w:val="24"/>
          <w:szCs w:val="24"/>
        </w:rPr>
        <w:t xml:space="preserve"> du réseau. Les estimations sont fondées sur des </w:t>
      </w:r>
      <w:r w:rsidRPr="00BE462E">
        <w:rPr>
          <w:rFonts w:ascii="Verdana" w:hAnsi="Verdana"/>
          <w:b/>
          <w:bCs/>
          <w:sz w:val="24"/>
          <w:szCs w:val="24"/>
        </w:rPr>
        <w:t>données internes de comptage</w:t>
      </w:r>
      <w:r w:rsidRPr="00BE462E">
        <w:rPr>
          <w:rFonts w:ascii="Verdana" w:hAnsi="Verdana"/>
          <w:sz w:val="24"/>
          <w:szCs w:val="24"/>
        </w:rPr>
        <w:t xml:space="preserve">, des </w:t>
      </w:r>
      <w:r w:rsidRPr="00BE462E">
        <w:rPr>
          <w:rFonts w:ascii="Verdana" w:hAnsi="Verdana"/>
          <w:b/>
          <w:bCs/>
          <w:sz w:val="24"/>
          <w:szCs w:val="24"/>
        </w:rPr>
        <w:t>demandes de raccordement</w:t>
      </w:r>
      <w:r w:rsidRPr="00BE462E">
        <w:rPr>
          <w:rFonts w:ascii="Verdana" w:hAnsi="Verdana"/>
          <w:sz w:val="24"/>
          <w:szCs w:val="24"/>
        </w:rPr>
        <w:t xml:space="preserve">, les </w:t>
      </w:r>
      <w:r w:rsidRPr="00BE462E">
        <w:rPr>
          <w:rFonts w:ascii="Verdana" w:hAnsi="Verdana"/>
          <w:b/>
          <w:bCs/>
          <w:sz w:val="24"/>
          <w:szCs w:val="24"/>
        </w:rPr>
        <w:t>tendances régionales</w:t>
      </w:r>
      <w:r w:rsidRPr="00BE462E">
        <w:rPr>
          <w:rFonts w:ascii="Verdana" w:hAnsi="Verdana"/>
          <w:sz w:val="24"/>
          <w:szCs w:val="24"/>
        </w:rPr>
        <w:t xml:space="preserve"> (PACE), ainsi que des scénarios prospectifs modélisés par </w:t>
      </w:r>
      <w:r w:rsidRPr="00BE462E">
        <w:rPr>
          <w:rFonts w:ascii="Verdana" w:hAnsi="Verdana"/>
          <w:b/>
          <w:bCs/>
          <w:sz w:val="24"/>
          <w:szCs w:val="24"/>
        </w:rPr>
        <w:t>Synergrid</w:t>
      </w:r>
      <w:r w:rsidRPr="00BE462E">
        <w:rPr>
          <w:rFonts w:ascii="Verdana" w:hAnsi="Verdana"/>
          <w:sz w:val="24"/>
          <w:szCs w:val="24"/>
        </w:rPr>
        <w:t xml:space="preserve"> et le </w:t>
      </w:r>
      <w:r w:rsidRPr="00BE462E">
        <w:rPr>
          <w:rFonts w:ascii="Verdana" w:hAnsi="Verdana"/>
          <w:b/>
          <w:bCs/>
          <w:sz w:val="24"/>
          <w:szCs w:val="24"/>
        </w:rPr>
        <w:t>SPW Énergie</w:t>
      </w:r>
      <w:r w:rsidRPr="00BE462E">
        <w:rPr>
          <w:rFonts w:ascii="Verdana" w:hAnsi="Verdana"/>
          <w:sz w:val="24"/>
          <w:szCs w:val="24"/>
        </w:rPr>
        <w:t>.</w:t>
      </w:r>
    </w:p>
    <w:p w14:paraId="6104501F" w14:textId="77777777" w:rsidR="00815EB7" w:rsidRPr="00BE462E" w:rsidRDefault="00815EB7" w:rsidP="00BE462E">
      <w:pPr>
        <w:jc w:val="both"/>
        <w:rPr>
          <w:rFonts w:ascii="Verdana" w:hAnsi="Verdana"/>
          <w:b/>
          <w:bCs/>
          <w:sz w:val="24"/>
          <w:szCs w:val="24"/>
        </w:rPr>
      </w:pPr>
      <w:r w:rsidRPr="00BE462E">
        <w:rPr>
          <w:rFonts w:ascii="Verdana" w:hAnsi="Verdana"/>
          <w:b/>
          <w:bCs/>
          <w:sz w:val="24"/>
          <w:szCs w:val="24"/>
        </w:rPr>
        <w:t>1. Mobilité électrique</w:t>
      </w:r>
    </w:p>
    <w:p w14:paraId="7D82AA4C" w14:textId="164534C3" w:rsidR="00815EB7" w:rsidRPr="00BE462E" w:rsidRDefault="00815EB7" w:rsidP="00BE462E">
      <w:pPr>
        <w:jc w:val="both"/>
        <w:rPr>
          <w:rFonts w:ascii="Verdana" w:hAnsi="Verdana"/>
          <w:sz w:val="24"/>
          <w:szCs w:val="24"/>
        </w:rPr>
      </w:pPr>
      <w:r w:rsidRPr="00BE462E">
        <w:rPr>
          <w:rFonts w:ascii="Verdana" w:hAnsi="Verdana"/>
          <w:sz w:val="24"/>
          <w:szCs w:val="24"/>
        </w:rPr>
        <w:t xml:space="preserve">L’AIEG observe une </w:t>
      </w:r>
      <w:r w:rsidRPr="00BE462E">
        <w:rPr>
          <w:rFonts w:ascii="Verdana" w:hAnsi="Verdana"/>
          <w:b/>
          <w:bCs/>
          <w:sz w:val="24"/>
          <w:szCs w:val="24"/>
        </w:rPr>
        <w:t>croissance rapide du nombre de points de recharge</w:t>
      </w:r>
      <w:r w:rsidRPr="00BE462E">
        <w:rPr>
          <w:rFonts w:ascii="Verdana" w:hAnsi="Verdana"/>
          <w:sz w:val="24"/>
          <w:szCs w:val="24"/>
        </w:rPr>
        <w:t xml:space="preserve"> pour véhicules électriques, en particulier en milieu résidentiel. En 2024, plus de </w:t>
      </w:r>
      <w:r w:rsidRPr="00BE462E">
        <w:rPr>
          <w:rFonts w:ascii="Verdana" w:hAnsi="Verdana"/>
          <w:b/>
          <w:bCs/>
          <w:sz w:val="24"/>
          <w:szCs w:val="24"/>
        </w:rPr>
        <w:t>64 bornes</w:t>
      </w:r>
      <w:r w:rsidRPr="00BE462E">
        <w:rPr>
          <w:rFonts w:ascii="Verdana" w:hAnsi="Verdana"/>
          <w:sz w:val="24"/>
          <w:szCs w:val="24"/>
        </w:rPr>
        <w:t xml:space="preserve"> sont raccordées en BT sur son territoire, avec une puissance moyenne de </w:t>
      </w:r>
      <w:r w:rsidRPr="00BE462E">
        <w:rPr>
          <w:rFonts w:ascii="Verdana" w:hAnsi="Verdana"/>
          <w:b/>
          <w:bCs/>
          <w:sz w:val="24"/>
          <w:szCs w:val="24"/>
        </w:rPr>
        <w:t>7,4 kW par borne</w:t>
      </w:r>
      <w:r w:rsidRPr="00BE462E">
        <w:rPr>
          <w:rFonts w:ascii="Verdana" w:hAnsi="Verdana"/>
          <w:sz w:val="24"/>
          <w:szCs w:val="24"/>
        </w:rPr>
        <w:t xml:space="preserve">. Les perspectives indiquent une </w:t>
      </w:r>
      <w:r w:rsidRPr="00BE462E">
        <w:rPr>
          <w:rFonts w:ascii="Verdana" w:hAnsi="Verdana"/>
          <w:sz w:val="24"/>
          <w:szCs w:val="24"/>
        </w:rPr>
        <w:lastRenderedPageBreak/>
        <w:t xml:space="preserve">multiplication par 4 d’ici 2030. Les impacts se concentrent sur les </w:t>
      </w:r>
      <w:r w:rsidRPr="00BE462E">
        <w:rPr>
          <w:rFonts w:ascii="Verdana" w:hAnsi="Verdana"/>
          <w:b/>
          <w:bCs/>
          <w:sz w:val="24"/>
          <w:szCs w:val="24"/>
        </w:rPr>
        <w:t>pointes de consommation en soirée</w:t>
      </w:r>
      <w:r w:rsidRPr="00BE462E">
        <w:rPr>
          <w:rFonts w:ascii="Verdana" w:hAnsi="Verdana"/>
          <w:sz w:val="24"/>
          <w:szCs w:val="24"/>
        </w:rPr>
        <w:t xml:space="preserve">, nécessitant le </w:t>
      </w:r>
      <w:r w:rsidRPr="00BE462E">
        <w:rPr>
          <w:rFonts w:ascii="Verdana" w:hAnsi="Verdana"/>
          <w:b/>
          <w:bCs/>
          <w:sz w:val="24"/>
          <w:szCs w:val="24"/>
        </w:rPr>
        <w:t>renforcement de certains tronçons BT</w:t>
      </w:r>
      <w:r w:rsidRPr="00BE462E">
        <w:rPr>
          <w:rFonts w:ascii="Verdana" w:hAnsi="Verdana"/>
          <w:sz w:val="24"/>
          <w:szCs w:val="24"/>
        </w:rPr>
        <w:t>, l’</w:t>
      </w:r>
      <w:r w:rsidRPr="00BE462E">
        <w:rPr>
          <w:rFonts w:ascii="Verdana" w:hAnsi="Verdana"/>
          <w:b/>
          <w:bCs/>
          <w:sz w:val="24"/>
          <w:szCs w:val="24"/>
        </w:rPr>
        <w:t>augmentation des sections de câble</w:t>
      </w:r>
      <w:r w:rsidRPr="00BE462E">
        <w:rPr>
          <w:rFonts w:ascii="Verdana" w:hAnsi="Verdana"/>
          <w:sz w:val="24"/>
          <w:szCs w:val="24"/>
        </w:rPr>
        <w:t xml:space="preserve">, ainsi que le </w:t>
      </w:r>
      <w:r w:rsidRPr="00BE462E">
        <w:rPr>
          <w:rFonts w:ascii="Verdana" w:hAnsi="Verdana"/>
          <w:b/>
          <w:bCs/>
          <w:sz w:val="24"/>
          <w:szCs w:val="24"/>
        </w:rPr>
        <w:t>surdimensionnement anticipé des transformateurs</w:t>
      </w:r>
      <w:r w:rsidRPr="00BE462E">
        <w:rPr>
          <w:rFonts w:ascii="Verdana" w:hAnsi="Verdana"/>
          <w:sz w:val="24"/>
          <w:szCs w:val="24"/>
        </w:rPr>
        <w:t xml:space="preserve"> lors des remplacements.</w:t>
      </w:r>
    </w:p>
    <w:p w14:paraId="18CC1B2D" w14:textId="77777777" w:rsidR="00815EB7" w:rsidRPr="00BE462E" w:rsidRDefault="00815EB7" w:rsidP="00BE462E">
      <w:pPr>
        <w:jc w:val="both"/>
        <w:rPr>
          <w:rFonts w:ascii="Verdana" w:hAnsi="Verdana"/>
          <w:b/>
          <w:bCs/>
          <w:sz w:val="24"/>
          <w:szCs w:val="24"/>
        </w:rPr>
      </w:pPr>
      <w:r w:rsidRPr="00BE462E">
        <w:rPr>
          <w:rFonts w:ascii="Verdana" w:hAnsi="Verdana"/>
          <w:b/>
          <w:bCs/>
          <w:sz w:val="24"/>
          <w:szCs w:val="24"/>
        </w:rPr>
        <w:t>2. Pompes à chaleur</w:t>
      </w:r>
    </w:p>
    <w:p w14:paraId="693B40AC" w14:textId="73FB7E2D" w:rsidR="00815EB7" w:rsidRPr="00BE462E" w:rsidRDefault="00815EB7" w:rsidP="00BE462E">
      <w:pPr>
        <w:jc w:val="both"/>
        <w:rPr>
          <w:rFonts w:ascii="Verdana" w:hAnsi="Verdana"/>
          <w:sz w:val="24"/>
          <w:szCs w:val="24"/>
        </w:rPr>
      </w:pPr>
      <w:r w:rsidRPr="00BE462E">
        <w:rPr>
          <w:rFonts w:ascii="Verdana" w:hAnsi="Verdana"/>
          <w:sz w:val="24"/>
          <w:szCs w:val="24"/>
        </w:rPr>
        <w:t xml:space="preserve">Les </w:t>
      </w:r>
      <w:r w:rsidRPr="00BE462E">
        <w:rPr>
          <w:rFonts w:ascii="Verdana" w:hAnsi="Verdana"/>
          <w:b/>
          <w:bCs/>
          <w:sz w:val="24"/>
          <w:szCs w:val="24"/>
        </w:rPr>
        <w:t>PAC</w:t>
      </w:r>
      <w:r w:rsidRPr="00BE462E">
        <w:rPr>
          <w:rFonts w:ascii="Verdana" w:hAnsi="Verdana"/>
          <w:sz w:val="24"/>
          <w:szCs w:val="24"/>
        </w:rPr>
        <w:t xml:space="preserve"> connaissent une adoption soutenue, notamment via des programmes de rénovation énergétique. On estime qu’environ </w:t>
      </w:r>
      <w:proofErr w:type="gramStart"/>
      <w:r w:rsidRPr="00BE462E">
        <w:rPr>
          <w:rFonts w:ascii="Verdana" w:hAnsi="Verdana"/>
          <w:b/>
          <w:bCs/>
          <w:sz w:val="24"/>
          <w:szCs w:val="24"/>
        </w:rPr>
        <w:t>230  installations</w:t>
      </w:r>
      <w:proofErr w:type="gramEnd"/>
      <w:r w:rsidRPr="00BE462E">
        <w:rPr>
          <w:rFonts w:ascii="Verdana" w:hAnsi="Verdana"/>
          <w:b/>
          <w:bCs/>
          <w:sz w:val="24"/>
          <w:szCs w:val="24"/>
        </w:rPr>
        <w:t xml:space="preserve"> BT</w:t>
      </w:r>
      <w:r w:rsidRPr="00BE462E">
        <w:rPr>
          <w:rFonts w:ascii="Verdana" w:hAnsi="Verdana"/>
          <w:sz w:val="24"/>
          <w:szCs w:val="24"/>
        </w:rPr>
        <w:t xml:space="preserve"> sont déjà en service, avec une puissance moyenne de </w:t>
      </w:r>
      <w:r w:rsidRPr="00BE462E">
        <w:rPr>
          <w:rFonts w:ascii="Verdana" w:hAnsi="Verdana"/>
          <w:b/>
          <w:bCs/>
          <w:sz w:val="24"/>
          <w:szCs w:val="24"/>
        </w:rPr>
        <w:t>5 à 10 kW</w:t>
      </w:r>
      <w:r w:rsidRPr="00BE462E">
        <w:rPr>
          <w:rFonts w:ascii="Verdana" w:hAnsi="Verdana"/>
          <w:sz w:val="24"/>
          <w:szCs w:val="24"/>
        </w:rPr>
        <w:t xml:space="preserve">. Le profil de consommation induit une </w:t>
      </w:r>
      <w:r w:rsidRPr="00BE462E">
        <w:rPr>
          <w:rFonts w:ascii="Verdana" w:hAnsi="Verdana"/>
          <w:b/>
          <w:bCs/>
          <w:sz w:val="24"/>
          <w:szCs w:val="24"/>
        </w:rPr>
        <w:t>hausse continue de la charge hivernale</w:t>
      </w:r>
      <w:r w:rsidRPr="00BE462E">
        <w:rPr>
          <w:rFonts w:ascii="Verdana" w:hAnsi="Verdana"/>
          <w:sz w:val="24"/>
          <w:szCs w:val="24"/>
        </w:rPr>
        <w:t xml:space="preserve">, affectant la </w:t>
      </w:r>
      <w:r w:rsidRPr="00BE462E">
        <w:rPr>
          <w:rFonts w:ascii="Verdana" w:hAnsi="Verdana"/>
          <w:b/>
          <w:bCs/>
          <w:sz w:val="24"/>
          <w:szCs w:val="24"/>
        </w:rPr>
        <w:t>tenue de tension</w:t>
      </w:r>
      <w:r w:rsidRPr="00BE462E">
        <w:rPr>
          <w:rFonts w:ascii="Verdana" w:hAnsi="Verdana"/>
          <w:sz w:val="24"/>
          <w:szCs w:val="24"/>
        </w:rPr>
        <w:t xml:space="preserve"> et les </w:t>
      </w:r>
      <w:r w:rsidRPr="00BE462E">
        <w:rPr>
          <w:rFonts w:ascii="Verdana" w:hAnsi="Verdana"/>
          <w:b/>
          <w:bCs/>
          <w:sz w:val="24"/>
          <w:szCs w:val="24"/>
        </w:rPr>
        <w:t>équilibres de phases</w:t>
      </w:r>
      <w:r w:rsidRPr="00BE462E">
        <w:rPr>
          <w:rFonts w:ascii="Verdana" w:hAnsi="Verdana"/>
          <w:sz w:val="24"/>
          <w:szCs w:val="24"/>
        </w:rPr>
        <w:t xml:space="preserve"> en zone résidentielle.</w:t>
      </w:r>
    </w:p>
    <w:p w14:paraId="212CF096" w14:textId="77777777" w:rsidR="00815EB7" w:rsidRPr="00BE462E" w:rsidRDefault="00815EB7" w:rsidP="00BE462E">
      <w:pPr>
        <w:jc w:val="both"/>
        <w:rPr>
          <w:rFonts w:ascii="Verdana" w:hAnsi="Verdana"/>
          <w:b/>
          <w:bCs/>
          <w:sz w:val="24"/>
          <w:szCs w:val="24"/>
        </w:rPr>
      </w:pPr>
      <w:r w:rsidRPr="00BE462E">
        <w:rPr>
          <w:rFonts w:ascii="Verdana" w:hAnsi="Verdana"/>
          <w:b/>
          <w:bCs/>
          <w:sz w:val="24"/>
          <w:szCs w:val="24"/>
        </w:rPr>
        <w:t>3. Développement photovoltaïque (PV)</w:t>
      </w:r>
    </w:p>
    <w:p w14:paraId="541665C2" w14:textId="1F14BA5A" w:rsidR="00815EB7" w:rsidRPr="00BE462E" w:rsidRDefault="00815EB7" w:rsidP="00BE462E">
      <w:pPr>
        <w:jc w:val="both"/>
        <w:rPr>
          <w:rFonts w:ascii="Verdana" w:hAnsi="Verdana"/>
          <w:sz w:val="24"/>
          <w:szCs w:val="24"/>
        </w:rPr>
      </w:pPr>
      <w:r w:rsidRPr="00BE462E">
        <w:rPr>
          <w:rFonts w:ascii="Verdana" w:hAnsi="Verdana"/>
          <w:sz w:val="24"/>
          <w:szCs w:val="24"/>
        </w:rPr>
        <w:t xml:space="preserve">Le PV résidentiel continue de croître fortement, avec </w:t>
      </w:r>
      <w:r w:rsidRPr="00BE462E">
        <w:rPr>
          <w:rFonts w:ascii="Verdana" w:hAnsi="Verdana"/>
          <w:b/>
          <w:bCs/>
          <w:sz w:val="24"/>
          <w:szCs w:val="24"/>
        </w:rPr>
        <w:t>environ 6 000 installations BT</w:t>
      </w:r>
      <w:r w:rsidRPr="00BE462E">
        <w:rPr>
          <w:rFonts w:ascii="Verdana" w:hAnsi="Verdana"/>
          <w:sz w:val="24"/>
          <w:szCs w:val="24"/>
        </w:rPr>
        <w:t xml:space="preserve"> produisant entre </w:t>
      </w:r>
      <w:r w:rsidRPr="00BE462E">
        <w:rPr>
          <w:rFonts w:ascii="Verdana" w:hAnsi="Verdana"/>
          <w:b/>
          <w:bCs/>
          <w:sz w:val="24"/>
          <w:szCs w:val="24"/>
        </w:rPr>
        <w:t>20 et 25 GWh/an</w:t>
      </w:r>
      <w:r w:rsidRPr="00BE462E">
        <w:rPr>
          <w:rFonts w:ascii="Verdana" w:hAnsi="Verdana"/>
          <w:sz w:val="24"/>
          <w:szCs w:val="24"/>
        </w:rPr>
        <w:t xml:space="preserve">. En MT, le développement est porté par des entreprises, avec une production estimée à </w:t>
      </w:r>
      <w:r w:rsidRPr="00BE462E">
        <w:rPr>
          <w:rFonts w:ascii="Verdana" w:hAnsi="Verdana"/>
          <w:b/>
          <w:bCs/>
          <w:sz w:val="24"/>
          <w:szCs w:val="24"/>
        </w:rPr>
        <w:t>15 GWh/an</w:t>
      </w:r>
      <w:r w:rsidRPr="00BE462E">
        <w:rPr>
          <w:rFonts w:ascii="Verdana" w:hAnsi="Verdana"/>
          <w:sz w:val="24"/>
          <w:szCs w:val="24"/>
        </w:rPr>
        <w:t xml:space="preserve">. Cette production locale provoque des </w:t>
      </w:r>
      <w:r w:rsidRPr="00BE462E">
        <w:rPr>
          <w:rFonts w:ascii="Verdana" w:hAnsi="Verdana"/>
          <w:b/>
          <w:bCs/>
          <w:sz w:val="24"/>
          <w:szCs w:val="24"/>
        </w:rPr>
        <w:t>surtensions en période d’ensoleillement</w:t>
      </w:r>
      <w:r w:rsidRPr="00BE462E">
        <w:rPr>
          <w:rFonts w:ascii="Verdana" w:hAnsi="Verdana"/>
          <w:sz w:val="24"/>
          <w:szCs w:val="24"/>
        </w:rPr>
        <w:t xml:space="preserve"> et des </w:t>
      </w:r>
      <w:r w:rsidRPr="00BE462E">
        <w:rPr>
          <w:rFonts w:ascii="Verdana" w:hAnsi="Verdana"/>
          <w:b/>
          <w:bCs/>
          <w:sz w:val="24"/>
          <w:szCs w:val="24"/>
        </w:rPr>
        <w:t>décrochages d’onduleurs</w:t>
      </w:r>
      <w:r w:rsidRPr="00BE462E">
        <w:rPr>
          <w:rFonts w:ascii="Verdana" w:hAnsi="Verdana"/>
          <w:sz w:val="24"/>
          <w:szCs w:val="24"/>
        </w:rPr>
        <w:t xml:space="preserve">, en particulier sur les réseaux radiaux non maillés. L’AIEG prévoit la </w:t>
      </w:r>
      <w:r w:rsidRPr="00BE462E">
        <w:rPr>
          <w:rFonts w:ascii="Verdana" w:hAnsi="Verdana"/>
          <w:b/>
          <w:bCs/>
          <w:sz w:val="24"/>
          <w:szCs w:val="24"/>
        </w:rPr>
        <w:t xml:space="preserve">mise en place de transformateurs </w:t>
      </w:r>
      <w:proofErr w:type="spellStart"/>
      <w:r w:rsidRPr="00BE462E">
        <w:rPr>
          <w:rFonts w:ascii="Verdana" w:hAnsi="Verdana"/>
          <w:b/>
          <w:bCs/>
          <w:sz w:val="24"/>
          <w:szCs w:val="24"/>
        </w:rPr>
        <w:t>autorégulants</w:t>
      </w:r>
      <w:proofErr w:type="spellEnd"/>
      <w:r w:rsidRPr="00BE462E">
        <w:rPr>
          <w:rFonts w:ascii="Verdana" w:hAnsi="Verdana"/>
          <w:sz w:val="24"/>
          <w:szCs w:val="24"/>
        </w:rPr>
        <w:t xml:space="preserve"> et l’</w:t>
      </w:r>
      <w:r w:rsidRPr="00BE462E">
        <w:rPr>
          <w:rFonts w:ascii="Verdana" w:hAnsi="Verdana"/>
          <w:b/>
          <w:bCs/>
          <w:sz w:val="24"/>
          <w:szCs w:val="24"/>
        </w:rPr>
        <w:t>automatisation des cabines critiques</w:t>
      </w:r>
      <w:r w:rsidRPr="00BE462E">
        <w:rPr>
          <w:rFonts w:ascii="Verdana" w:hAnsi="Verdana"/>
          <w:sz w:val="24"/>
          <w:szCs w:val="24"/>
        </w:rPr>
        <w:t xml:space="preserve"> pour gérer ces injections.</w:t>
      </w:r>
    </w:p>
    <w:p w14:paraId="7A4AB750" w14:textId="77777777" w:rsidR="00815EB7" w:rsidRPr="00BE462E" w:rsidRDefault="00815EB7" w:rsidP="00BE462E">
      <w:pPr>
        <w:jc w:val="both"/>
        <w:rPr>
          <w:rFonts w:ascii="Verdana" w:hAnsi="Verdana"/>
          <w:b/>
          <w:bCs/>
          <w:sz w:val="24"/>
          <w:szCs w:val="24"/>
        </w:rPr>
      </w:pPr>
      <w:r w:rsidRPr="00BE462E">
        <w:rPr>
          <w:rFonts w:ascii="Verdana" w:hAnsi="Verdana"/>
          <w:b/>
          <w:bCs/>
          <w:sz w:val="24"/>
          <w:szCs w:val="24"/>
        </w:rPr>
        <w:t>4. Développement éolien</w:t>
      </w:r>
    </w:p>
    <w:p w14:paraId="1F677139" w14:textId="77777777" w:rsidR="00815EB7" w:rsidRPr="00BE462E" w:rsidRDefault="00815EB7" w:rsidP="00BE462E">
      <w:pPr>
        <w:jc w:val="both"/>
        <w:rPr>
          <w:rFonts w:ascii="Verdana" w:hAnsi="Verdana"/>
          <w:sz w:val="24"/>
          <w:szCs w:val="24"/>
        </w:rPr>
      </w:pPr>
      <w:r w:rsidRPr="00BE462E">
        <w:rPr>
          <w:rFonts w:ascii="Verdana" w:hAnsi="Verdana"/>
          <w:sz w:val="24"/>
          <w:szCs w:val="24"/>
        </w:rPr>
        <w:t xml:space="preserve">Le potentiel éolien exploité sur le territoire AIEG reste </w:t>
      </w:r>
      <w:r w:rsidRPr="00BE462E">
        <w:rPr>
          <w:rFonts w:ascii="Verdana" w:hAnsi="Verdana"/>
          <w:b/>
          <w:bCs/>
          <w:sz w:val="24"/>
          <w:szCs w:val="24"/>
        </w:rPr>
        <w:t>limité</w:t>
      </w:r>
      <w:r w:rsidRPr="00BE462E">
        <w:rPr>
          <w:rFonts w:ascii="Verdana" w:hAnsi="Verdana"/>
          <w:sz w:val="24"/>
          <w:szCs w:val="24"/>
        </w:rPr>
        <w:t xml:space="preserve"> à ce stade, mais des projets industriels de moyenne puissance (500 kW à 2 MW) sont à l’étude. Ces raccordements seraient effectués en MT, avec </w:t>
      </w:r>
      <w:r w:rsidRPr="00BE462E">
        <w:rPr>
          <w:rFonts w:ascii="Verdana" w:hAnsi="Verdana"/>
          <w:b/>
          <w:bCs/>
          <w:sz w:val="24"/>
          <w:szCs w:val="24"/>
        </w:rPr>
        <w:t>des contraintes localisées sur la régulation de tension</w:t>
      </w:r>
      <w:r w:rsidRPr="00BE462E">
        <w:rPr>
          <w:rFonts w:ascii="Verdana" w:hAnsi="Verdana"/>
          <w:sz w:val="24"/>
          <w:szCs w:val="24"/>
        </w:rPr>
        <w:t xml:space="preserve"> et le </w:t>
      </w:r>
      <w:r w:rsidRPr="00BE462E">
        <w:rPr>
          <w:rFonts w:ascii="Verdana" w:hAnsi="Verdana"/>
          <w:b/>
          <w:bCs/>
          <w:sz w:val="24"/>
          <w:szCs w:val="24"/>
        </w:rPr>
        <w:t>transit de puissance</w:t>
      </w:r>
      <w:r w:rsidRPr="00BE462E">
        <w:rPr>
          <w:rFonts w:ascii="Verdana" w:hAnsi="Verdana"/>
          <w:sz w:val="24"/>
          <w:szCs w:val="24"/>
        </w:rPr>
        <w:t xml:space="preserve">, nécessitant </w:t>
      </w:r>
      <w:r w:rsidRPr="00BE462E">
        <w:rPr>
          <w:rFonts w:ascii="Verdana" w:hAnsi="Verdana"/>
          <w:b/>
          <w:bCs/>
          <w:sz w:val="24"/>
          <w:szCs w:val="24"/>
        </w:rPr>
        <w:t>des renforcements ciblés des liaisons MT</w:t>
      </w:r>
      <w:r w:rsidRPr="00BE462E">
        <w:rPr>
          <w:rFonts w:ascii="Verdana" w:hAnsi="Verdana"/>
          <w:sz w:val="24"/>
          <w:szCs w:val="24"/>
        </w:rPr>
        <w:t>.</w:t>
      </w:r>
    </w:p>
    <w:p w14:paraId="5E6F669B" w14:textId="77777777" w:rsidR="00815EB7" w:rsidRPr="00BE462E" w:rsidRDefault="00815EB7" w:rsidP="00BE462E">
      <w:pPr>
        <w:jc w:val="both"/>
        <w:rPr>
          <w:rFonts w:ascii="Verdana" w:hAnsi="Verdana"/>
          <w:b/>
          <w:bCs/>
          <w:sz w:val="24"/>
          <w:szCs w:val="24"/>
        </w:rPr>
      </w:pPr>
      <w:r w:rsidRPr="00BE462E">
        <w:rPr>
          <w:rFonts w:ascii="Verdana" w:hAnsi="Verdana"/>
          <w:b/>
          <w:bCs/>
          <w:sz w:val="24"/>
          <w:szCs w:val="24"/>
        </w:rPr>
        <w:t>5. Stockage stationnaire</w:t>
      </w:r>
    </w:p>
    <w:p w14:paraId="72C02C69" w14:textId="77777777" w:rsidR="00815EB7" w:rsidRPr="00BE462E" w:rsidRDefault="00815EB7" w:rsidP="00BE462E">
      <w:pPr>
        <w:jc w:val="both"/>
        <w:rPr>
          <w:rFonts w:ascii="Verdana" w:hAnsi="Verdana"/>
          <w:sz w:val="24"/>
          <w:szCs w:val="24"/>
        </w:rPr>
      </w:pPr>
      <w:r w:rsidRPr="00BE462E">
        <w:rPr>
          <w:rFonts w:ascii="Verdana" w:hAnsi="Verdana"/>
          <w:sz w:val="24"/>
          <w:szCs w:val="24"/>
        </w:rPr>
        <w:t xml:space="preserve">Le stockage reste marginal à ce stade, mais des </w:t>
      </w:r>
      <w:r w:rsidRPr="00BE462E">
        <w:rPr>
          <w:rFonts w:ascii="Verdana" w:hAnsi="Verdana"/>
          <w:b/>
          <w:bCs/>
          <w:sz w:val="24"/>
          <w:szCs w:val="24"/>
        </w:rPr>
        <w:t>projets pilotes en BT</w:t>
      </w:r>
      <w:r w:rsidRPr="00BE462E">
        <w:rPr>
          <w:rFonts w:ascii="Verdana" w:hAnsi="Verdana"/>
          <w:sz w:val="24"/>
          <w:szCs w:val="24"/>
        </w:rPr>
        <w:t xml:space="preserve"> sont en cours d’analyse. L’AIEG évalue leur </w:t>
      </w:r>
      <w:r w:rsidRPr="00BE462E">
        <w:rPr>
          <w:rFonts w:ascii="Verdana" w:hAnsi="Verdana"/>
          <w:b/>
          <w:bCs/>
          <w:sz w:val="24"/>
          <w:szCs w:val="24"/>
        </w:rPr>
        <w:t>intégration en tant qu’élément de flexibilité</w:t>
      </w:r>
      <w:r w:rsidRPr="00BE462E">
        <w:rPr>
          <w:rFonts w:ascii="Verdana" w:hAnsi="Verdana"/>
          <w:sz w:val="24"/>
          <w:szCs w:val="24"/>
        </w:rPr>
        <w:t xml:space="preserve"> (absorption de surplus PV, soutien à la tension), notamment dans les poches rurales à forte densité d’autoproduction. Le déploiement massif du stockage pourrait </w:t>
      </w:r>
      <w:r w:rsidRPr="00BE462E">
        <w:rPr>
          <w:rFonts w:ascii="Verdana" w:hAnsi="Verdana"/>
          <w:b/>
          <w:bCs/>
          <w:sz w:val="24"/>
          <w:szCs w:val="24"/>
        </w:rPr>
        <w:t>décaler la courbe de charge</w:t>
      </w:r>
      <w:r w:rsidRPr="00BE462E">
        <w:rPr>
          <w:rFonts w:ascii="Verdana" w:hAnsi="Verdana"/>
          <w:sz w:val="24"/>
          <w:szCs w:val="24"/>
        </w:rPr>
        <w:t xml:space="preserve"> et </w:t>
      </w:r>
      <w:r w:rsidRPr="00BE462E">
        <w:rPr>
          <w:rFonts w:ascii="Verdana" w:hAnsi="Verdana"/>
          <w:b/>
          <w:bCs/>
          <w:sz w:val="24"/>
          <w:szCs w:val="24"/>
        </w:rPr>
        <w:t>réduire les congestions BT</w:t>
      </w:r>
      <w:r w:rsidRPr="00BE462E">
        <w:rPr>
          <w:rFonts w:ascii="Verdana" w:hAnsi="Verdana"/>
          <w:sz w:val="24"/>
          <w:szCs w:val="24"/>
        </w:rPr>
        <w:t xml:space="preserve">, mais engendrer également </w:t>
      </w:r>
      <w:r w:rsidRPr="00BE462E">
        <w:rPr>
          <w:rFonts w:ascii="Verdana" w:hAnsi="Verdana"/>
          <w:b/>
          <w:bCs/>
          <w:sz w:val="24"/>
          <w:szCs w:val="24"/>
        </w:rPr>
        <w:t>de nouvelles pointes en recharge simultanée</w:t>
      </w:r>
      <w:r w:rsidRPr="00BE462E">
        <w:rPr>
          <w:rFonts w:ascii="Verdana" w:hAnsi="Verdana"/>
          <w:sz w:val="24"/>
          <w:szCs w:val="24"/>
        </w:rPr>
        <w:t>.</w:t>
      </w:r>
    </w:p>
    <w:p w14:paraId="5174ABC2" w14:textId="77777777" w:rsidR="00815EB7" w:rsidRPr="00BE462E" w:rsidRDefault="00815EB7" w:rsidP="00BE462E">
      <w:pPr>
        <w:jc w:val="both"/>
        <w:rPr>
          <w:rFonts w:ascii="Verdana" w:hAnsi="Verdana"/>
          <w:b/>
          <w:bCs/>
          <w:sz w:val="24"/>
          <w:szCs w:val="24"/>
        </w:rPr>
      </w:pPr>
      <w:r w:rsidRPr="00BE462E">
        <w:rPr>
          <w:rFonts w:ascii="Verdana" w:hAnsi="Verdana"/>
          <w:b/>
          <w:bCs/>
          <w:sz w:val="24"/>
          <w:szCs w:val="24"/>
        </w:rPr>
        <w:t>6. Autres usages émergents</w:t>
      </w:r>
    </w:p>
    <w:p w14:paraId="03EE15CF" w14:textId="77777777" w:rsidR="00815EB7" w:rsidRPr="00BE462E" w:rsidRDefault="00815EB7" w:rsidP="00BE462E">
      <w:pPr>
        <w:jc w:val="both"/>
        <w:rPr>
          <w:rFonts w:ascii="Verdana" w:hAnsi="Verdana"/>
          <w:sz w:val="24"/>
          <w:szCs w:val="24"/>
        </w:rPr>
      </w:pPr>
      <w:r w:rsidRPr="00BE462E">
        <w:rPr>
          <w:rFonts w:ascii="Verdana" w:hAnsi="Verdana"/>
          <w:sz w:val="24"/>
          <w:szCs w:val="24"/>
        </w:rPr>
        <w:t xml:space="preserve">L’AIEG anticipe également le développement de </w:t>
      </w:r>
      <w:r w:rsidRPr="00BE462E">
        <w:rPr>
          <w:rFonts w:ascii="Verdana" w:hAnsi="Verdana"/>
          <w:b/>
          <w:bCs/>
          <w:sz w:val="24"/>
          <w:szCs w:val="24"/>
        </w:rPr>
        <w:t>l’électrification industrielle</w:t>
      </w:r>
      <w:r w:rsidRPr="00BE462E">
        <w:rPr>
          <w:rFonts w:ascii="Verdana" w:hAnsi="Verdana"/>
          <w:sz w:val="24"/>
          <w:szCs w:val="24"/>
        </w:rPr>
        <w:t xml:space="preserve"> (remplacement de chaudières par des process électriques), le </w:t>
      </w:r>
      <w:r w:rsidRPr="00BE462E">
        <w:rPr>
          <w:rFonts w:ascii="Verdana" w:hAnsi="Verdana"/>
          <w:b/>
          <w:bCs/>
          <w:sz w:val="24"/>
          <w:szCs w:val="24"/>
        </w:rPr>
        <w:t>déploiement progressif de réseaux de chaleur</w:t>
      </w:r>
      <w:r w:rsidRPr="00BE462E">
        <w:rPr>
          <w:rFonts w:ascii="Verdana" w:hAnsi="Verdana"/>
          <w:sz w:val="24"/>
          <w:szCs w:val="24"/>
        </w:rPr>
        <w:t xml:space="preserve"> hybrides dans les ZAE, </w:t>
      </w:r>
      <w:r w:rsidRPr="00BE462E">
        <w:rPr>
          <w:rFonts w:ascii="Verdana" w:hAnsi="Verdana"/>
          <w:sz w:val="24"/>
          <w:szCs w:val="24"/>
        </w:rPr>
        <w:lastRenderedPageBreak/>
        <w:t xml:space="preserve">et le </w:t>
      </w:r>
      <w:r w:rsidRPr="00BE462E">
        <w:rPr>
          <w:rFonts w:ascii="Verdana" w:hAnsi="Verdana"/>
          <w:b/>
          <w:bCs/>
          <w:sz w:val="24"/>
          <w:szCs w:val="24"/>
        </w:rPr>
        <w:t>grand photovoltaïque</w:t>
      </w:r>
      <w:r w:rsidRPr="00BE462E">
        <w:rPr>
          <w:rFonts w:ascii="Verdana" w:hAnsi="Verdana"/>
          <w:sz w:val="24"/>
          <w:szCs w:val="24"/>
        </w:rPr>
        <w:t xml:space="preserve"> en toiture industrielle. Ces usages, connectés en MT voire en HT, sont </w:t>
      </w:r>
      <w:r w:rsidRPr="00BE462E">
        <w:rPr>
          <w:rFonts w:ascii="Verdana" w:hAnsi="Verdana"/>
          <w:b/>
          <w:bCs/>
          <w:sz w:val="24"/>
          <w:szCs w:val="24"/>
        </w:rPr>
        <w:t>étroitement suivis en lien avec les demandes de permis et les PAE communaux</w:t>
      </w:r>
      <w:r w:rsidRPr="00BE462E">
        <w:rPr>
          <w:rFonts w:ascii="Verdana" w:hAnsi="Verdana"/>
          <w:sz w:val="24"/>
          <w:szCs w:val="24"/>
        </w:rPr>
        <w:t>.</w:t>
      </w:r>
    </w:p>
    <w:p w14:paraId="5FC761FE" w14:textId="77777777" w:rsidR="00815EB7" w:rsidRPr="00BE462E" w:rsidRDefault="00815EB7" w:rsidP="00BE462E">
      <w:pPr>
        <w:jc w:val="both"/>
        <w:rPr>
          <w:rFonts w:ascii="Verdana" w:hAnsi="Verdana"/>
          <w:b/>
          <w:bCs/>
          <w:sz w:val="24"/>
          <w:szCs w:val="24"/>
        </w:rPr>
      </w:pPr>
      <w:r w:rsidRPr="00BE462E">
        <w:rPr>
          <w:rFonts w:ascii="Verdana" w:hAnsi="Verdana"/>
          <w:b/>
          <w:bCs/>
          <w:sz w:val="24"/>
          <w:szCs w:val="24"/>
        </w:rPr>
        <w:t>7. Usages en décroissance</w:t>
      </w:r>
    </w:p>
    <w:p w14:paraId="7F072529" w14:textId="77777777" w:rsidR="00815EB7" w:rsidRPr="00BE462E" w:rsidRDefault="00815EB7" w:rsidP="00BE462E">
      <w:pPr>
        <w:jc w:val="both"/>
        <w:rPr>
          <w:rFonts w:ascii="Verdana" w:hAnsi="Verdana"/>
          <w:sz w:val="24"/>
          <w:szCs w:val="24"/>
        </w:rPr>
      </w:pPr>
      <w:r w:rsidRPr="00BE462E">
        <w:rPr>
          <w:rFonts w:ascii="Verdana" w:hAnsi="Verdana"/>
          <w:sz w:val="24"/>
          <w:szCs w:val="24"/>
        </w:rPr>
        <w:t>La chauffage électrique direct "exclusif nuit" et les installations au tarif mono-horaire sont en décroissance constante, du fait des nouvelles habitudes et de la migration vers des systèmes plus performants. Ces baisses sont intégrées dans les prévisions, mais leur effet reste limité au regard de l’augmentation des nouveaux usages.</w:t>
      </w:r>
    </w:p>
    <w:p w14:paraId="50299892" w14:textId="77777777" w:rsidR="00815EB7" w:rsidRPr="00BE462E" w:rsidRDefault="00815EB7" w:rsidP="00BE462E">
      <w:pPr>
        <w:jc w:val="both"/>
        <w:rPr>
          <w:rFonts w:ascii="Verdana" w:hAnsi="Verdana"/>
          <w:sz w:val="24"/>
          <w:szCs w:val="24"/>
        </w:rPr>
      </w:pPr>
      <w:r w:rsidRPr="00BE462E">
        <w:rPr>
          <w:rFonts w:ascii="Verdana" w:hAnsi="Verdana"/>
          <w:sz w:val="24"/>
          <w:szCs w:val="24"/>
        </w:rPr>
        <w:t xml:space="preserve">L’ensemble de ces estimations est mis à jour annuellement, sur base des </w:t>
      </w:r>
      <w:r w:rsidRPr="00BE462E">
        <w:rPr>
          <w:rFonts w:ascii="Verdana" w:hAnsi="Verdana"/>
          <w:b/>
          <w:bCs/>
          <w:sz w:val="24"/>
          <w:szCs w:val="24"/>
        </w:rPr>
        <w:t>données terrain et demandes de raccordement</w:t>
      </w:r>
      <w:r w:rsidRPr="00BE462E">
        <w:rPr>
          <w:rFonts w:ascii="Verdana" w:hAnsi="Verdana"/>
          <w:sz w:val="24"/>
          <w:szCs w:val="24"/>
        </w:rPr>
        <w:t xml:space="preserve">, et intégré dans les </w:t>
      </w:r>
      <w:r w:rsidRPr="00BE462E">
        <w:rPr>
          <w:rFonts w:ascii="Verdana" w:hAnsi="Verdana"/>
          <w:b/>
          <w:bCs/>
          <w:sz w:val="24"/>
          <w:szCs w:val="24"/>
        </w:rPr>
        <w:t>modèles de planification des charges</w:t>
      </w:r>
      <w:r w:rsidRPr="00BE462E">
        <w:rPr>
          <w:rFonts w:ascii="Verdana" w:hAnsi="Verdana"/>
          <w:sz w:val="24"/>
          <w:szCs w:val="24"/>
        </w:rPr>
        <w:t xml:space="preserve"> BT et MT utilisés par l’AIEG. Les impacts techniques sont traduits en </w:t>
      </w:r>
      <w:r w:rsidRPr="00BE462E">
        <w:rPr>
          <w:rFonts w:ascii="Verdana" w:hAnsi="Verdana"/>
          <w:b/>
          <w:bCs/>
          <w:sz w:val="24"/>
          <w:szCs w:val="24"/>
        </w:rPr>
        <w:t>actions d’investissement</w:t>
      </w:r>
      <w:r w:rsidRPr="00BE462E">
        <w:rPr>
          <w:rFonts w:ascii="Verdana" w:hAnsi="Verdana"/>
          <w:sz w:val="24"/>
          <w:szCs w:val="24"/>
        </w:rPr>
        <w:t>, notamment sur le renforcement, l’automatisation et l’observation du réseau.</w:t>
      </w:r>
    </w:p>
    <w:p w14:paraId="457CFE92" w14:textId="77777777" w:rsidR="00815EB7" w:rsidRDefault="00815EB7" w:rsidP="00815EB7">
      <w:pPr>
        <w:pStyle w:val="AIEG2"/>
        <w:numPr>
          <w:ilvl w:val="0"/>
          <w:numId w:val="0"/>
        </w:numPr>
      </w:pPr>
    </w:p>
    <w:p w14:paraId="78679A04" w14:textId="77777777" w:rsidR="00815EB7" w:rsidRDefault="00815EB7" w:rsidP="00815EB7">
      <w:pPr>
        <w:pStyle w:val="AIEG2"/>
        <w:numPr>
          <w:ilvl w:val="0"/>
          <w:numId w:val="0"/>
        </w:numPr>
      </w:pPr>
    </w:p>
    <w:p w14:paraId="79C10D41" w14:textId="23CC4FE9" w:rsidR="00061E28" w:rsidRDefault="00061E28" w:rsidP="00DD6506">
      <w:pPr>
        <w:pStyle w:val="AIEG2"/>
      </w:pPr>
      <w:r>
        <w:t xml:space="preserve">Mesures de gestion intelligentes </w:t>
      </w:r>
    </w:p>
    <w:p w14:paraId="09D5C9CC" w14:textId="77777777" w:rsidR="008E1F75" w:rsidRPr="00B91865" w:rsidRDefault="008E1F75" w:rsidP="0028299E">
      <w:pPr>
        <w:jc w:val="both"/>
        <w:rPr>
          <w:rFonts w:ascii="Verdana" w:hAnsi="Verdana"/>
          <w:sz w:val="24"/>
          <w:szCs w:val="24"/>
        </w:rPr>
      </w:pPr>
      <w:r w:rsidRPr="00B91865">
        <w:rPr>
          <w:rFonts w:ascii="Verdana" w:hAnsi="Verdana"/>
          <w:sz w:val="24"/>
          <w:szCs w:val="24"/>
        </w:rPr>
        <w:t xml:space="preserve">Dans une logique de gestion intelligente de son réseau et afin de limiter, voire d’éviter, certains renforcements structurels coûteux, l’AIEG met en œuvre une stratégie de </w:t>
      </w:r>
      <w:r w:rsidRPr="00B91865">
        <w:rPr>
          <w:rFonts w:ascii="Verdana" w:hAnsi="Verdana"/>
          <w:b/>
          <w:bCs/>
          <w:sz w:val="24"/>
          <w:szCs w:val="24"/>
        </w:rPr>
        <w:t>digitalisation progressive de ses infrastructures de distribution</w:t>
      </w:r>
      <w:r w:rsidRPr="00B91865">
        <w:rPr>
          <w:rFonts w:ascii="Verdana" w:hAnsi="Verdana"/>
          <w:sz w:val="24"/>
          <w:szCs w:val="24"/>
        </w:rPr>
        <w:t>, en particulier au niveau des cabines de transformation MT/BT. Ce programme comprend l’</w:t>
      </w:r>
      <w:r w:rsidRPr="00B91865">
        <w:rPr>
          <w:rFonts w:ascii="Verdana" w:hAnsi="Verdana"/>
          <w:b/>
          <w:bCs/>
          <w:sz w:val="24"/>
          <w:szCs w:val="24"/>
        </w:rPr>
        <w:t>équipement systématique des nouvelles cabines en modules de télésurveillance et télécommande (RTU)</w:t>
      </w:r>
      <w:r w:rsidRPr="00B91865">
        <w:rPr>
          <w:rFonts w:ascii="Verdana" w:hAnsi="Verdana"/>
          <w:sz w:val="24"/>
          <w:szCs w:val="24"/>
        </w:rPr>
        <w:t xml:space="preserve">, permettant une </w:t>
      </w:r>
      <w:r w:rsidRPr="00B91865">
        <w:rPr>
          <w:rFonts w:ascii="Verdana" w:hAnsi="Verdana"/>
          <w:b/>
          <w:bCs/>
          <w:sz w:val="24"/>
          <w:szCs w:val="24"/>
        </w:rPr>
        <w:t>remontée temps réel des données techniques</w:t>
      </w:r>
      <w:r w:rsidRPr="00B91865">
        <w:rPr>
          <w:rFonts w:ascii="Verdana" w:hAnsi="Verdana"/>
          <w:sz w:val="24"/>
          <w:szCs w:val="24"/>
        </w:rPr>
        <w:t xml:space="preserve"> (courant, tension, puissance, température, surpression) et une </w:t>
      </w:r>
      <w:r w:rsidRPr="00B91865">
        <w:rPr>
          <w:rFonts w:ascii="Verdana" w:hAnsi="Verdana"/>
          <w:b/>
          <w:bCs/>
          <w:sz w:val="24"/>
          <w:szCs w:val="24"/>
        </w:rPr>
        <w:t>intervention à distance</w:t>
      </w:r>
      <w:r w:rsidRPr="00B91865">
        <w:rPr>
          <w:rFonts w:ascii="Verdana" w:hAnsi="Verdana"/>
          <w:sz w:val="24"/>
          <w:szCs w:val="24"/>
        </w:rPr>
        <w:t xml:space="preserve"> sur les interrupteurs et disjoncteurs MT. Cette digitalisation améliore considérablement la </w:t>
      </w:r>
      <w:r w:rsidRPr="00B91865">
        <w:rPr>
          <w:rFonts w:ascii="Verdana" w:hAnsi="Verdana"/>
          <w:b/>
          <w:bCs/>
          <w:sz w:val="24"/>
          <w:szCs w:val="24"/>
        </w:rPr>
        <w:t>visibilité opérationnelle du réseau</w:t>
      </w:r>
      <w:r w:rsidRPr="00B91865">
        <w:rPr>
          <w:rFonts w:ascii="Verdana" w:hAnsi="Verdana"/>
          <w:sz w:val="24"/>
          <w:szCs w:val="24"/>
        </w:rPr>
        <w:t xml:space="preserve">, facilite la </w:t>
      </w:r>
      <w:r w:rsidRPr="00B91865">
        <w:rPr>
          <w:rFonts w:ascii="Verdana" w:hAnsi="Verdana"/>
          <w:b/>
          <w:bCs/>
          <w:sz w:val="24"/>
          <w:szCs w:val="24"/>
        </w:rPr>
        <w:t>localisation des défauts</w:t>
      </w:r>
      <w:r w:rsidRPr="00B91865">
        <w:rPr>
          <w:rFonts w:ascii="Verdana" w:hAnsi="Verdana"/>
          <w:sz w:val="24"/>
          <w:szCs w:val="24"/>
        </w:rPr>
        <w:t xml:space="preserve">, et permet une </w:t>
      </w:r>
      <w:r w:rsidRPr="00B91865">
        <w:rPr>
          <w:rFonts w:ascii="Verdana" w:hAnsi="Verdana"/>
          <w:b/>
          <w:bCs/>
          <w:sz w:val="24"/>
          <w:szCs w:val="24"/>
        </w:rPr>
        <w:t>réactivité accrue en cas d’incident</w:t>
      </w:r>
      <w:r w:rsidRPr="00B91865">
        <w:rPr>
          <w:rFonts w:ascii="Verdana" w:hAnsi="Verdana"/>
          <w:sz w:val="24"/>
          <w:szCs w:val="24"/>
        </w:rPr>
        <w:t>, tout en réduisant les déplacements sur le terrain.</w:t>
      </w:r>
    </w:p>
    <w:p w14:paraId="69AB4543" w14:textId="77777777" w:rsidR="008E1F75" w:rsidRPr="00B91865" w:rsidRDefault="008E1F75" w:rsidP="0028299E">
      <w:pPr>
        <w:jc w:val="both"/>
        <w:rPr>
          <w:rFonts w:ascii="Verdana" w:hAnsi="Verdana"/>
          <w:sz w:val="24"/>
          <w:szCs w:val="24"/>
        </w:rPr>
      </w:pPr>
      <w:r w:rsidRPr="00B91865">
        <w:rPr>
          <w:rFonts w:ascii="Verdana" w:hAnsi="Verdana"/>
          <w:sz w:val="24"/>
          <w:szCs w:val="24"/>
        </w:rPr>
        <w:t xml:space="preserve">Par ailleurs, l’AIEG intègre à son programme d’investissement l’installation de </w:t>
      </w:r>
      <w:r w:rsidRPr="00B91865">
        <w:rPr>
          <w:rFonts w:ascii="Verdana" w:hAnsi="Verdana"/>
          <w:b/>
          <w:bCs/>
          <w:sz w:val="24"/>
          <w:szCs w:val="24"/>
        </w:rPr>
        <w:t xml:space="preserve">transformateurs </w:t>
      </w:r>
      <w:proofErr w:type="spellStart"/>
      <w:r w:rsidRPr="00B91865">
        <w:rPr>
          <w:rFonts w:ascii="Verdana" w:hAnsi="Verdana"/>
          <w:b/>
          <w:bCs/>
          <w:sz w:val="24"/>
          <w:szCs w:val="24"/>
        </w:rPr>
        <w:t>autorégulants</w:t>
      </w:r>
      <w:proofErr w:type="spellEnd"/>
      <w:r w:rsidRPr="00B91865">
        <w:rPr>
          <w:rFonts w:ascii="Verdana" w:hAnsi="Verdana"/>
          <w:b/>
          <w:bCs/>
          <w:sz w:val="24"/>
          <w:szCs w:val="24"/>
        </w:rPr>
        <w:t xml:space="preserve"> (OLT)</w:t>
      </w:r>
      <w:r w:rsidRPr="00B91865">
        <w:rPr>
          <w:rFonts w:ascii="Verdana" w:hAnsi="Verdana"/>
          <w:sz w:val="24"/>
          <w:szCs w:val="24"/>
        </w:rPr>
        <w:t xml:space="preserve"> dans les cabines secondaires situées en zones sensibles, notamment là où les injections photovoltaïques sont fortes. Ces transformateurs permettent une </w:t>
      </w:r>
      <w:r w:rsidRPr="00B91865">
        <w:rPr>
          <w:rFonts w:ascii="Verdana" w:hAnsi="Verdana"/>
          <w:b/>
          <w:bCs/>
          <w:sz w:val="24"/>
          <w:szCs w:val="24"/>
        </w:rPr>
        <w:t>régulation dynamique de la tension</w:t>
      </w:r>
      <w:r w:rsidRPr="00B91865">
        <w:rPr>
          <w:rFonts w:ascii="Verdana" w:hAnsi="Verdana"/>
          <w:sz w:val="24"/>
          <w:szCs w:val="24"/>
        </w:rPr>
        <w:t xml:space="preserve"> en fonction de la charge ou de l’injection, et contribuent à </w:t>
      </w:r>
      <w:r w:rsidRPr="00B91865">
        <w:rPr>
          <w:rFonts w:ascii="Verdana" w:hAnsi="Verdana"/>
          <w:b/>
          <w:bCs/>
          <w:sz w:val="24"/>
          <w:szCs w:val="24"/>
        </w:rPr>
        <w:t>maintenir les tensions dans les plages admissibles</w:t>
      </w:r>
      <w:r w:rsidRPr="00B91865">
        <w:rPr>
          <w:rFonts w:ascii="Verdana" w:hAnsi="Verdana"/>
          <w:sz w:val="24"/>
          <w:szCs w:val="24"/>
        </w:rPr>
        <w:t xml:space="preserve"> sans intervention manuelle ni modification permanente du réglage. Le recours à cette technologie permet de </w:t>
      </w:r>
      <w:r w:rsidRPr="00B91865">
        <w:rPr>
          <w:rFonts w:ascii="Verdana" w:hAnsi="Verdana"/>
          <w:b/>
          <w:bCs/>
          <w:sz w:val="24"/>
          <w:szCs w:val="24"/>
        </w:rPr>
        <w:t>gérer localement les déséquilibres liés à la production décentralisée</w:t>
      </w:r>
      <w:r w:rsidRPr="00B91865">
        <w:rPr>
          <w:rFonts w:ascii="Verdana" w:hAnsi="Verdana"/>
          <w:sz w:val="24"/>
          <w:szCs w:val="24"/>
        </w:rPr>
        <w:t>, d’</w:t>
      </w:r>
      <w:r w:rsidRPr="00B91865">
        <w:rPr>
          <w:rFonts w:ascii="Verdana" w:hAnsi="Verdana"/>
          <w:b/>
          <w:bCs/>
          <w:sz w:val="24"/>
          <w:szCs w:val="24"/>
        </w:rPr>
        <w:t>éviter des travaux de renforcement</w:t>
      </w:r>
      <w:r w:rsidRPr="00B91865">
        <w:rPr>
          <w:rFonts w:ascii="Verdana" w:hAnsi="Verdana"/>
          <w:sz w:val="24"/>
          <w:szCs w:val="24"/>
        </w:rPr>
        <w:t xml:space="preserve"> sur </w:t>
      </w:r>
      <w:r w:rsidRPr="00B91865">
        <w:rPr>
          <w:rFonts w:ascii="Verdana" w:hAnsi="Verdana"/>
          <w:sz w:val="24"/>
          <w:szCs w:val="24"/>
        </w:rPr>
        <w:lastRenderedPageBreak/>
        <w:t xml:space="preserve">les réseaux BT concernés, et d’assurer la </w:t>
      </w:r>
      <w:r w:rsidRPr="00B91865">
        <w:rPr>
          <w:rFonts w:ascii="Verdana" w:hAnsi="Verdana"/>
          <w:b/>
          <w:bCs/>
          <w:sz w:val="24"/>
          <w:szCs w:val="24"/>
        </w:rPr>
        <w:t>qualité de l’onde de tension</w:t>
      </w:r>
      <w:r w:rsidRPr="00B91865">
        <w:rPr>
          <w:rFonts w:ascii="Verdana" w:hAnsi="Verdana"/>
          <w:sz w:val="24"/>
          <w:szCs w:val="24"/>
        </w:rPr>
        <w:t xml:space="preserve"> chez les utilisateurs finaux.</w:t>
      </w:r>
    </w:p>
    <w:p w14:paraId="6A8D1758" w14:textId="77777777" w:rsidR="008E1F75" w:rsidRPr="00B91865" w:rsidRDefault="008E1F75" w:rsidP="0028299E">
      <w:pPr>
        <w:jc w:val="both"/>
        <w:rPr>
          <w:rFonts w:ascii="Verdana" w:hAnsi="Verdana"/>
          <w:sz w:val="24"/>
          <w:szCs w:val="24"/>
        </w:rPr>
      </w:pPr>
      <w:r w:rsidRPr="00B91865">
        <w:rPr>
          <w:rFonts w:ascii="Verdana" w:hAnsi="Verdana"/>
          <w:sz w:val="24"/>
          <w:szCs w:val="24"/>
        </w:rPr>
        <w:t xml:space="preserve">Ces deux mesures, complémentaires, représentent des leviers essentiels de </w:t>
      </w:r>
      <w:r w:rsidRPr="00B91865">
        <w:rPr>
          <w:rFonts w:ascii="Verdana" w:hAnsi="Verdana"/>
          <w:b/>
          <w:bCs/>
          <w:sz w:val="24"/>
          <w:szCs w:val="24"/>
        </w:rPr>
        <w:t>flexibilité technique</w:t>
      </w:r>
      <w:r w:rsidRPr="00B91865">
        <w:rPr>
          <w:rFonts w:ascii="Verdana" w:hAnsi="Verdana"/>
          <w:sz w:val="24"/>
          <w:szCs w:val="24"/>
        </w:rPr>
        <w:t xml:space="preserve"> dans la gestion du réseau, et leur généralisation progressive s’inscrit dans la volonté de l’AIEG de construire un </w:t>
      </w:r>
      <w:r w:rsidRPr="00B91865">
        <w:rPr>
          <w:rFonts w:ascii="Verdana" w:hAnsi="Verdana"/>
          <w:b/>
          <w:bCs/>
          <w:sz w:val="24"/>
          <w:szCs w:val="24"/>
        </w:rPr>
        <w:t>réseau plus intelligent, automatisé et efficient</w:t>
      </w:r>
      <w:r w:rsidRPr="00B91865">
        <w:rPr>
          <w:rFonts w:ascii="Verdana" w:hAnsi="Verdana"/>
          <w:sz w:val="24"/>
          <w:szCs w:val="24"/>
        </w:rPr>
        <w:t xml:space="preserve">, tout en </w:t>
      </w:r>
      <w:r w:rsidRPr="00B91865">
        <w:rPr>
          <w:rFonts w:ascii="Verdana" w:hAnsi="Verdana"/>
          <w:b/>
          <w:bCs/>
          <w:sz w:val="24"/>
          <w:szCs w:val="24"/>
        </w:rPr>
        <w:t>optimisant les investissements</w:t>
      </w:r>
      <w:r w:rsidRPr="00B91865">
        <w:rPr>
          <w:rFonts w:ascii="Verdana" w:hAnsi="Verdana"/>
          <w:sz w:val="24"/>
          <w:szCs w:val="24"/>
        </w:rPr>
        <w:t xml:space="preserve"> par une meilleure exploitation des infrastructures existantes.</w:t>
      </w:r>
    </w:p>
    <w:p w14:paraId="019EB0A9" w14:textId="3207443A" w:rsidR="00061E28" w:rsidRDefault="00061E28" w:rsidP="00DD6506">
      <w:pPr>
        <w:pStyle w:val="AIEG2"/>
      </w:pPr>
      <w:r>
        <w:t xml:space="preserve">Impacts sur les </w:t>
      </w:r>
      <w:proofErr w:type="spellStart"/>
      <w:r>
        <w:t>investisssement</w:t>
      </w:r>
      <w:proofErr w:type="spellEnd"/>
    </w:p>
    <w:p w14:paraId="0424E066" w14:textId="77777777" w:rsidR="00061E28" w:rsidRDefault="00061E28" w:rsidP="0028299E">
      <w:pPr>
        <w:jc w:val="both"/>
        <w:rPr>
          <w:rFonts w:ascii="Verdana" w:hAnsi="Verdana"/>
          <w:sz w:val="24"/>
          <w:szCs w:val="24"/>
        </w:rPr>
      </w:pPr>
    </w:p>
    <w:p w14:paraId="56478A7E" w14:textId="77777777" w:rsidR="0028299E" w:rsidRPr="0028299E" w:rsidRDefault="0028299E" w:rsidP="0028299E">
      <w:pPr>
        <w:jc w:val="both"/>
        <w:rPr>
          <w:rFonts w:ascii="Verdana" w:hAnsi="Verdana"/>
          <w:sz w:val="24"/>
          <w:szCs w:val="24"/>
        </w:rPr>
      </w:pPr>
      <w:r w:rsidRPr="0028299E">
        <w:rPr>
          <w:rFonts w:ascii="Verdana" w:hAnsi="Verdana"/>
          <w:sz w:val="24"/>
          <w:szCs w:val="24"/>
        </w:rPr>
        <w:t xml:space="preserve">Les nouveaux usages identifiés, tels que la </w:t>
      </w:r>
      <w:r w:rsidRPr="0028299E">
        <w:rPr>
          <w:rFonts w:ascii="Verdana" w:hAnsi="Verdana"/>
          <w:b/>
          <w:bCs/>
          <w:sz w:val="24"/>
          <w:szCs w:val="24"/>
        </w:rPr>
        <w:t>mobilité électrique</w:t>
      </w:r>
      <w:r w:rsidRPr="0028299E">
        <w:rPr>
          <w:rFonts w:ascii="Verdana" w:hAnsi="Verdana"/>
          <w:sz w:val="24"/>
          <w:szCs w:val="24"/>
        </w:rPr>
        <w:t xml:space="preserve">, les </w:t>
      </w:r>
      <w:r w:rsidRPr="0028299E">
        <w:rPr>
          <w:rFonts w:ascii="Verdana" w:hAnsi="Verdana"/>
          <w:b/>
          <w:bCs/>
          <w:sz w:val="24"/>
          <w:szCs w:val="24"/>
        </w:rPr>
        <w:t>pompes à chaleur</w:t>
      </w:r>
      <w:r w:rsidRPr="0028299E">
        <w:rPr>
          <w:rFonts w:ascii="Verdana" w:hAnsi="Verdana"/>
          <w:sz w:val="24"/>
          <w:szCs w:val="24"/>
        </w:rPr>
        <w:t xml:space="preserve">, la </w:t>
      </w:r>
      <w:r w:rsidRPr="0028299E">
        <w:rPr>
          <w:rFonts w:ascii="Verdana" w:hAnsi="Verdana"/>
          <w:b/>
          <w:bCs/>
          <w:sz w:val="24"/>
          <w:szCs w:val="24"/>
        </w:rPr>
        <w:t>production photovoltaïque</w:t>
      </w:r>
      <w:r w:rsidRPr="0028299E">
        <w:rPr>
          <w:rFonts w:ascii="Verdana" w:hAnsi="Verdana"/>
          <w:sz w:val="24"/>
          <w:szCs w:val="24"/>
        </w:rPr>
        <w:t xml:space="preserve"> ou encore l’</w:t>
      </w:r>
      <w:r w:rsidRPr="0028299E">
        <w:rPr>
          <w:rFonts w:ascii="Verdana" w:hAnsi="Verdana"/>
          <w:b/>
          <w:bCs/>
          <w:sz w:val="24"/>
          <w:szCs w:val="24"/>
        </w:rPr>
        <w:t>électrification progressive des usages industriels</w:t>
      </w:r>
      <w:r w:rsidRPr="0028299E">
        <w:rPr>
          <w:rFonts w:ascii="Verdana" w:hAnsi="Verdana"/>
          <w:sz w:val="24"/>
          <w:szCs w:val="24"/>
        </w:rPr>
        <w:t xml:space="preserve">, induisent une </w:t>
      </w:r>
      <w:r w:rsidRPr="0028299E">
        <w:rPr>
          <w:rFonts w:ascii="Verdana" w:hAnsi="Verdana"/>
          <w:b/>
          <w:bCs/>
          <w:sz w:val="24"/>
          <w:szCs w:val="24"/>
        </w:rPr>
        <w:t>augmentation continue des besoins en capacité</w:t>
      </w:r>
      <w:r w:rsidRPr="0028299E">
        <w:rPr>
          <w:rFonts w:ascii="Verdana" w:hAnsi="Verdana"/>
          <w:sz w:val="24"/>
          <w:szCs w:val="24"/>
        </w:rPr>
        <w:t xml:space="preserve"> sur le réseau BT et, dans une moindre mesure, sur le réseau MT. L’AIEG anticipe une </w:t>
      </w:r>
      <w:r w:rsidRPr="0028299E">
        <w:rPr>
          <w:rFonts w:ascii="Verdana" w:hAnsi="Verdana"/>
          <w:b/>
          <w:bCs/>
          <w:sz w:val="24"/>
          <w:szCs w:val="24"/>
        </w:rPr>
        <w:t>hausse annuelle moyenne de la charge de 2 %</w:t>
      </w:r>
      <w:r w:rsidRPr="0028299E">
        <w:rPr>
          <w:rFonts w:ascii="Verdana" w:hAnsi="Verdana"/>
          <w:sz w:val="24"/>
          <w:szCs w:val="24"/>
        </w:rPr>
        <w:t xml:space="preserve">, mais avec des </w:t>
      </w:r>
      <w:r w:rsidRPr="0028299E">
        <w:rPr>
          <w:rFonts w:ascii="Verdana" w:hAnsi="Verdana"/>
          <w:b/>
          <w:bCs/>
          <w:sz w:val="24"/>
          <w:szCs w:val="24"/>
        </w:rPr>
        <w:t>pointes localisées beaucoup plus marquées</w:t>
      </w:r>
      <w:r w:rsidRPr="0028299E">
        <w:rPr>
          <w:rFonts w:ascii="Verdana" w:hAnsi="Verdana"/>
          <w:sz w:val="24"/>
          <w:szCs w:val="24"/>
        </w:rPr>
        <w:t xml:space="preserve">, notamment en soirée et en hiver. En parallèle, la montée en puissance de la production décentralisée, principalement photovoltaïque, génère des </w:t>
      </w:r>
      <w:r w:rsidRPr="0028299E">
        <w:rPr>
          <w:rFonts w:ascii="Verdana" w:hAnsi="Verdana"/>
          <w:b/>
          <w:bCs/>
          <w:sz w:val="24"/>
          <w:szCs w:val="24"/>
        </w:rPr>
        <w:t>déséquilibres de tension</w:t>
      </w:r>
      <w:r w:rsidRPr="0028299E">
        <w:rPr>
          <w:rFonts w:ascii="Verdana" w:hAnsi="Verdana"/>
          <w:sz w:val="24"/>
          <w:szCs w:val="24"/>
        </w:rPr>
        <w:t>, particulièrement sur les réseaux radiaux ruraux, accentuant la nécessité d’adaptations ciblées.</w:t>
      </w:r>
    </w:p>
    <w:p w14:paraId="1198F478" w14:textId="77777777" w:rsidR="0028299E" w:rsidRPr="0028299E" w:rsidRDefault="0028299E" w:rsidP="0028299E">
      <w:pPr>
        <w:jc w:val="both"/>
        <w:rPr>
          <w:rFonts w:ascii="Verdana" w:hAnsi="Verdana"/>
          <w:sz w:val="24"/>
          <w:szCs w:val="24"/>
        </w:rPr>
      </w:pPr>
      <w:r w:rsidRPr="0028299E">
        <w:rPr>
          <w:rFonts w:ascii="Verdana" w:hAnsi="Verdana"/>
          <w:sz w:val="24"/>
          <w:szCs w:val="24"/>
        </w:rPr>
        <w:t xml:space="preserve">Ces évolutions sont intégrées dans la planification pluriannuelle des investissements, aussi bien dans les projets spécifiques que dans le </w:t>
      </w:r>
      <w:r w:rsidRPr="0028299E">
        <w:rPr>
          <w:rFonts w:ascii="Verdana" w:hAnsi="Verdana"/>
          <w:b/>
          <w:bCs/>
          <w:sz w:val="24"/>
          <w:szCs w:val="24"/>
        </w:rPr>
        <w:t xml:space="preserve">périmètre des investissements récurrents (BAU - Business As </w:t>
      </w:r>
      <w:proofErr w:type="spellStart"/>
      <w:r w:rsidRPr="0028299E">
        <w:rPr>
          <w:rFonts w:ascii="Verdana" w:hAnsi="Verdana"/>
          <w:b/>
          <w:bCs/>
          <w:sz w:val="24"/>
          <w:szCs w:val="24"/>
        </w:rPr>
        <w:t>Usual</w:t>
      </w:r>
      <w:proofErr w:type="spellEnd"/>
      <w:r w:rsidRPr="0028299E">
        <w:rPr>
          <w:rFonts w:ascii="Verdana" w:hAnsi="Verdana"/>
          <w:b/>
          <w:bCs/>
          <w:sz w:val="24"/>
          <w:szCs w:val="24"/>
        </w:rPr>
        <w:t>)</w:t>
      </w:r>
      <w:r w:rsidRPr="0028299E">
        <w:rPr>
          <w:rFonts w:ascii="Verdana" w:hAnsi="Verdana"/>
          <w:sz w:val="24"/>
          <w:szCs w:val="24"/>
        </w:rPr>
        <w:t xml:space="preserve">. Par exemple, le </w:t>
      </w:r>
      <w:r w:rsidRPr="0028299E">
        <w:rPr>
          <w:rFonts w:ascii="Verdana" w:hAnsi="Verdana"/>
          <w:b/>
          <w:bCs/>
          <w:sz w:val="24"/>
          <w:szCs w:val="24"/>
        </w:rPr>
        <w:t>renouvellement anticipé des transformateurs</w:t>
      </w:r>
      <w:r w:rsidRPr="0028299E">
        <w:rPr>
          <w:rFonts w:ascii="Verdana" w:hAnsi="Verdana"/>
          <w:sz w:val="24"/>
          <w:szCs w:val="24"/>
        </w:rPr>
        <w:t xml:space="preserve"> est réalisé en standardisant vers des puissances nominales supérieures, tandis que le </w:t>
      </w:r>
      <w:r w:rsidRPr="0028299E">
        <w:rPr>
          <w:rFonts w:ascii="Verdana" w:hAnsi="Verdana"/>
          <w:b/>
          <w:bCs/>
          <w:sz w:val="24"/>
          <w:szCs w:val="24"/>
        </w:rPr>
        <w:t>renforcement des câbles BT</w:t>
      </w:r>
      <w:r w:rsidRPr="0028299E">
        <w:rPr>
          <w:rFonts w:ascii="Verdana" w:hAnsi="Verdana"/>
          <w:sz w:val="24"/>
          <w:szCs w:val="24"/>
        </w:rPr>
        <w:t xml:space="preserve"> accompagne les opérations d’enfouissement ou de remplacement de cuivre nu. De plus, la </w:t>
      </w:r>
      <w:r w:rsidRPr="0028299E">
        <w:rPr>
          <w:rFonts w:ascii="Verdana" w:hAnsi="Verdana"/>
          <w:b/>
          <w:bCs/>
          <w:sz w:val="24"/>
          <w:szCs w:val="24"/>
        </w:rPr>
        <w:t>généralisation du télécontrôle des cabines</w:t>
      </w:r>
      <w:r w:rsidRPr="0028299E">
        <w:rPr>
          <w:rFonts w:ascii="Verdana" w:hAnsi="Verdana"/>
          <w:sz w:val="24"/>
          <w:szCs w:val="24"/>
        </w:rPr>
        <w:t xml:space="preserve"> et le déploiement de </w:t>
      </w:r>
      <w:r w:rsidRPr="0028299E">
        <w:rPr>
          <w:rFonts w:ascii="Verdana" w:hAnsi="Verdana"/>
          <w:b/>
          <w:bCs/>
          <w:sz w:val="24"/>
          <w:szCs w:val="24"/>
        </w:rPr>
        <w:t xml:space="preserve">transformateurs </w:t>
      </w:r>
      <w:proofErr w:type="spellStart"/>
      <w:r w:rsidRPr="0028299E">
        <w:rPr>
          <w:rFonts w:ascii="Verdana" w:hAnsi="Verdana"/>
          <w:b/>
          <w:bCs/>
          <w:sz w:val="24"/>
          <w:szCs w:val="24"/>
        </w:rPr>
        <w:t>autorégulants</w:t>
      </w:r>
      <w:proofErr w:type="spellEnd"/>
      <w:r w:rsidRPr="0028299E">
        <w:rPr>
          <w:rFonts w:ascii="Verdana" w:hAnsi="Verdana"/>
          <w:sz w:val="24"/>
          <w:szCs w:val="24"/>
        </w:rPr>
        <w:t xml:space="preserve"> permettent de différer certains renforcements structurels, tout en améliorant la flexibilité opérationnelle du réseau.</w:t>
      </w:r>
    </w:p>
    <w:p w14:paraId="33E75A43" w14:textId="06D3C185" w:rsidR="0028299E" w:rsidRPr="0028299E" w:rsidRDefault="0028299E" w:rsidP="0028299E">
      <w:pPr>
        <w:jc w:val="both"/>
        <w:rPr>
          <w:rFonts w:ascii="Verdana" w:hAnsi="Verdana"/>
          <w:sz w:val="24"/>
          <w:szCs w:val="24"/>
        </w:rPr>
      </w:pPr>
      <w:r w:rsidRPr="0028299E">
        <w:rPr>
          <w:rFonts w:ascii="Verdana" w:hAnsi="Verdana"/>
          <w:sz w:val="24"/>
          <w:szCs w:val="24"/>
        </w:rPr>
        <w:t xml:space="preserve">L’ensemble des </w:t>
      </w:r>
      <w:r w:rsidRPr="0028299E">
        <w:rPr>
          <w:rFonts w:ascii="Verdana" w:hAnsi="Verdana"/>
          <w:b/>
          <w:bCs/>
          <w:sz w:val="24"/>
          <w:szCs w:val="24"/>
        </w:rPr>
        <w:t>projets identifiés</w:t>
      </w:r>
      <w:r w:rsidRPr="0028299E">
        <w:rPr>
          <w:rFonts w:ascii="Verdana" w:hAnsi="Verdana"/>
          <w:sz w:val="24"/>
          <w:szCs w:val="24"/>
        </w:rPr>
        <w:t xml:space="preserve"> est détaillé dans les </w:t>
      </w:r>
      <w:r w:rsidRPr="0028299E">
        <w:rPr>
          <w:rFonts w:ascii="Verdana" w:hAnsi="Verdana"/>
          <w:b/>
          <w:bCs/>
          <w:sz w:val="24"/>
          <w:szCs w:val="24"/>
        </w:rPr>
        <w:t>onglets Tab 2, 3 et 5</w:t>
      </w:r>
      <w:r w:rsidRPr="0028299E">
        <w:rPr>
          <w:rFonts w:ascii="Verdana" w:hAnsi="Verdana"/>
          <w:sz w:val="24"/>
          <w:szCs w:val="24"/>
        </w:rPr>
        <w:t xml:space="preserve"> du fichier d’adaptation, avec les </w:t>
      </w:r>
      <w:r w:rsidRPr="0028299E">
        <w:rPr>
          <w:rFonts w:ascii="Verdana" w:hAnsi="Verdana"/>
          <w:b/>
          <w:bCs/>
          <w:sz w:val="24"/>
          <w:szCs w:val="24"/>
        </w:rPr>
        <w:t>motivations associées</w:t>
      </w:r>
      <w:r w:rsidRPr="0028299E">
        <w:rPr>
          <w:rFonts w:ascii="Verdana" w:hAnsi="Verdana"/>
          <w:sz w:val="24"/>
          <w:szCs w:val="24"/>
        </w:rPr>
        <w:t xml:space="preserve"> </w:t>
      </w:r>
      <w:r w:rsidRPr="009534E0">
        <w:rPr>
          <w:rFonts w:ascii="Verdana" w:hAnsi="Verdana"/>
          <w:sz w:val="24"/>
          <w:szCs w:val="24"/>
          <w:highlight w:val="yellow"/>
        </w:rPr>
        <w:t xml:space="preserve">(« </w:t>
      </w:r>
      <w:r w:rsidR="009F204D">
        <w:rPr>
          <w:rFonts w:ascii="Verdana" w:hAnsi="Verdana"/>
          <w:sz w:val="24"/>
          <w:szCs w:val="24"/>
          <w:highlight w:val="yellow"/>
        </w:rPr>
        <w:t>Remplacement pour cau</w:t>
      </w:r>
      <w:r w:rsidR="00FA673F">
        <w:rPr>
          <w:rFonts w:ascii="Verdana" w:hAnsi="Verdana"/>
          <w:sz w:val="24"/>
          <w:szCs w:val="24"/>
          <w:highlight w:val="yellow"/>
        </w:rPr>
        <w:t xml:space="preserve">se de </w:t>
      </w:r>
      <w:proofErr w:type="gramStart"/>
      <w:r w:rsidR="00FA673F">
        <w:rPr>
          <w:rFonts w:ascii="Verdana" w:hAnsi="Verdana"/>
          <w:sz w:val="24"/>
          <w:szCs w:val="24"/>
          <w:highlight w:val="yellow"/>
        </w:rPr>
        <w:t xml:space="preserve">vétusté </w:t>
      </w:r>
      <w:r w:rsidRPr="009534E0">
        <w:rPr>
          <w:rFonts w:ascii="Verdana" w:hAnsi="Verdana"/>
          <w:sz w:val="24"/>
          <w:szCs w:val="24"/>
          <w:highlight w:val="yellow"/>
        </w:rPr>
        <w:t xml:space="preserve"> »</w:t>
      </w:r>
      <w:proofErr w:type="gramEnd"/>
      <w:r w:rsidRPr="009534E0">
        <w:rPr>
          <w:rFonts w:ascii="Verdana" w:hAnsi="Verdana"/>
          <w:sz w:val="24"/>
          <w:szCs w:val="24"/>
          <w:highlight w:val="yellow"/>
        </w:rPr>
        <w:t xml:space="preserve">, « </w:t>
      </w:r>
      <w:r w:rsidR="00FA673F">
        <w:rPr>
          <w:rFonts w:ascii="Verdana" w:hAnsi="Verdana"/>
          <w:sz w:val="24"/>
          <w:szCs w:val="24"/>
          <w:highlight w:val="yellow"/>
        </w:rPr>
        <w:t xml:space="preserve">nouveaux clients </w:t>
      </w:r>
      <w:proofErr w:type="spellStart"/>
      <w:proofErr w:type="gramStart"/>
      <w:r w:rsidR="00FA673F">
        <w:rPr>
          <w:rFonts w:ascii="Verdana" w:hAnsi="Verdana"/>
          <w:sz w:val="24"/>
          <w:szCs w:val="24"/>
          <w:highlight w:val="yellow"/>
        </w:rPr>
        <w:t>résientiels</w:t>
      </w:r>
      <w:proofErr w:type="spellEnd"/>
      <w:r w:rsidR="00FA673F">
        <w:rPr>
          <w:rFonts w:ascii="Verdana" w:hAnsi="Verdana"/>
          <w:sz w:val="24"/>
          <w:szCs w:val="24"/>
          <w:highlight w:val="yellow"/>
        </w:rPr>
        <w:t xml:space="preserve"> </w:t>
      </w:r>
      <w:r w:rsidRPr="009534E0">
        <w:rPr>
          <w:rFonts w:ascii="Verdana" w:hAnsi="Verdana"/>
          <w:sz w:val="24"/>
          <w:szCs w:val="24"/>
          <w:highlight w:val="yellow"/>
        </w:rPr>
        <w:t xml:space="preserve"> »</w:t>
      </w:r>
      <w:proofErr w:type="gramEnd"/>
      <w:r w:rsidRPr="009534E0">
        <w:rPr>
          <w:rFonts w:ascii="Verdana" w:hAnsi="Verdana"/>
          <w:sz w:val="24"/>
          <w:szCs w:val="24"/>
          <w:highlight w:val="yellow"/>
        </w:rPr>
        <w:t xml:space="preserve">, « </w:t>
      </w:r>
      <w:r w:rsidR="00FA673F">
        <w:rPr>
          <w:rFonts w:ascii="Verdana" w:hAnsi="Verdana"/>
          <w:sz w:val="24"/>
          <w:szCs w:val="24"/>
          <w:highlight w:val="yellow"/>
        </w:rPr>
        <w:t xml:space="preserve">// avec investissements </w:t>
      </w:r>
      <w:proofErr w:type="gramStart"/>
      <w:r w:rsidR="00FA673F">
        <w:rPr>
          <w:rFonts w:ascii="Verdana" w:hAnsi="Verdana"/>
          <w:sz w:val="24"/>
          <w:szCs w:val="24"/>
          <w:highlight w:val="yellow"/>
        </w:rPr>
        <w:t xml:space="preserve">ELIA </w:t>
      </w:r>
      <w:r w:rsidRPr="009534E0">
        <w:rPr>
          <w:rFonts w:ascii="Verdana" w:hAnsi="Verdana"/>
          <w:sz w:val="24"/>
          <w:szCs w:val="24"/>
          <w:highlight w:val="yellow"/>
        </w:rPr>
        <w:t xml:space="preserve"> »</w:t>
      </w:r>
      <w:proofErr w:type="gramEnd"/>
      <w:r w:rsidRPr="009534E0">
        <w:rPr>
          <w:rFonts w:ascii="Verdana" w:hAnsi="Verdana"/>
          <w:sz w:val="24"/>
          <w:szCs w:val="24"/>
          <w:highlight w:val="yellow"/>
        </w:rPr>
        <w:t>, etc.</w:t>
      </w:r>
      <w:r w:rsidRPr="0028299E">
        <w:rPr>
          <w:rFonts w:ascii="Verdana" w:hAnsi="Verdana"/>
          <w:sz w:val="24"/>
          <w:szCs w:val="24"/>
        </w:rPr>
        <w:t xml:space="preserve">). Cette démarche permet de </w:t>
      </w:r>
      <w:r w:rsidRPr="0028299E">
        <w:rPr>
          <w:rFonts w:ascii="Verdana" w:hAnsi="Verdana"/>
          <w:b/>
          <w:bCs/>
          <w:sz w:val="24"/>
          <w:szCs w:val="24"/>
        </w:rPr>
        <w:t>lier explicitement les besoins issus des nouveaux usages</w:t>
      </w:r>
      <w:r w:rsidRPr="0028299E">
        <w:rPr>
          <w:rFonts w:ascii="Verdana" w:hAnsi="Verdana"/>
          <w:sz w:val="24"/>
          <w:szCs w:val="24"/>
        </w:rPr>
        <w:t xml:space="preserve"> aux décisions d’investissement, dans une logique de maîtrise des coûts et d’optimisation de la performance réseau.</w:t>
      </w:r>
    </w:p>
    <w:p w14:paraId="2D61CE5E" w14:textId="77777777" w:rsidR="002D6C63" w:rsidRDefault="002D6C63">
      <w:pPr>
        <w:rPr>
          <w:rFonts w:ascii="Verdana" w:hAnsi="Verdana"/>
          <w:b/>
          <w:color w:val="000000" w:themeColor="text1"/>
          <w:sz w:val="32"/>
          <w:szCs w:val="32"/>
        </w:rPr>
      </w:pPr>
      <w:r>
        <w:br w:type="page"/>
      </w:r>
    </w:p>
    <w:p w14:paraId="30383119" w14:textId="09BCDC73" w:rsidR="00061E28" w:rsidRPr="006438A3" w:rsidRDefault="00727C90" w:rsidP="006438A3">
      <w:pPr>
        <w:pStyle w:val="AIEG1"/>
      </w:pPr>
      <w:r w:rsidRPr="006438A3">
        <w:lastRenderedPageBreak/>
        <w:t>Plan D’adaptation</w:t>
      </w:r>
      <w:r w:rsidR="00061E28" w:rsidRPr="006438A3">
        <w:t xml:space="preserve"> 2026 -2030</w:t>
      </w:r>
    </w:p>
    <w:p w14:paraId="12FAB942" w14:textId="77777777" w:rsidR="002F1F39" w:rsidRPr="006438A3" w:rsidRDefault="00727C90" w:rsidP="006438A3">
      <w:pPr>
        <w:pStyle w:val="AIEG2"/>
      </w:pPr>
      <w:r w:rsidRPr="006438A3">
        <w:t>Les besoins en capacité</w:t>
      </w:r>
    </w:p>
    <w:p w14:paraId="0A58E3F1" w14:textId="0373F7EC" w:rsidR="00727C90" w:rsidRDefault="00727C90" w:rsidP="006438A3">
      <w:pPr>
        <w:pStyle w:val="AIEG3"/>
      </w:pPr>
      <w:r w:rsidRPr="006438A3">
        <w:t>Evolution de la consommation, de la production et des pointes de charge pouvant en résulter</w:t>
      </w:r>
    </w:p>
    <w:p w14:paraId="034456BA" w14:textId="77777777" w:rsidR="00124D0E" w:rsidRDefault="00124D0E" w:rsidP="002873E9">
      <w:pPr>
        <w:jc w:val="both"/>
        <w:rPr>
          <w:rFonts w:ascii="Verdana" w:hAnsi="Verdana"/>
        </w:rPr>
      </w:pPr>
    </w:p>
    <w:p w14:paraId="0DF675E1" w14:textId="77777777" w:rsidR="00124D0E" w:rsidRPr="00124D0E" w:rsidRDefault="00124D0E" w:rsidP="00124D0E">
      <w:pPr>
        <w:jc w:val="both"/>
        <w:rPr>
          <w:rFonts w:ascii="Verdana" w:hAnsi="Verdana"/>
          <w:sz w:val="24"/>
          <w:szCs w:val="24"/>
        </w:rPr>
      </w:pPr>
      <w:r w:rsidRPr="00124D0E">
        <w:rPr>
          <w:rFonts w:ascii="Verdana" w:hAnsi="Verdana"/>
          <w:sz w:val="24"/>
          <w:szCs w:val="24"/>
        </w:rPr>
        <w:t xml:space="preserve">En 2024, la </w:t>
      </w:r>
      <w:r w:rsidRPr="00124D0E">
        <w:rPr>
          <w:rFonts w:ascii="Verdana" w:hAnsi="Verdana"/>
          <w:b/>
          <w:bCs/>
          <w:sz w:val="24"/>
          <w:szCs w:val="24"/>
        </w:rPr>
        <w:t>fourniture totale d’énergie électrique</w:t>
      </w:r>
      <w:r w:rsidRPr="00124D0E">
        <w:rPr>
          <w:rFonts w:ascii="Verdana" w:hAnsi="Verdana"/>
          <w:sz w:val="24"/>
          <w:szCs w:val="24"/>
        </w:rPr>
        <w:t xml:space="preserve"> sur l’ensemble du territoire couvert par l’AIEG s’est élevée à </w:t>
      </w:r>
      <w:r w:rsidRPr="00124D0E">
        <w:rPr>
          <w:rFonts w:ascii="Verdana" w:hAnsi="Verdana"/>
          <w:b/>
          <w:bCs/>
          <w:sz w:val="24"/>
          <w:szCs w:val="24"/>
        </w:rPr>
        <w:t>184.059.656 kWh</w:t>
      </w:r>
      <w:r w:rsidRPr="00124D0E">
        <w:rPr>
          <w:rFonts w:ascii="Verdana" w:hAnsi="Verdana"/>
          <w:sz w:val="24"/>
          <w:szCs w:val="24"/>
        </w:rPr>
        <w:t xml:space="preserve">, marquant une </w:t>
      </w:r>
      <w:r w:rsidRPr="00124D0E">
        <w:rPr>
          <w:rFonts w:ascii="Verdana" w:hAnsi="Verdana"/>
          <w:b/>
          <w:bCs/>
          <w:sz w:val="24"/>
          <w:szCs w:val="24"/>
        </w:rPr>
        <w:t>légère augmentation de 0,20 %</w:t>
      </w:r>
      <w:r w:rsidRPr="00124D0E">
        <w:rPr>
          <w:rFonts w:ascii="Verdana" w:hAnsi="Verdana"/>
          <w:sz w:val="24"/>
          <w:szCs w:val="24"/>
        </w:rPr>
        <w:t xml:space="preserve"> par rapport à l’année 2023 (183.683.526 kWh). Cette stabilité globale masque toutefois des dynamiques contrastées entre les différents niveaux de tension et les communes desservies.</w:t>
      </w:r>
    </w:p>
    <w:p w14:paraId="4314E672" w14:textId="77777777" w:rsidR="00124D0E" w:rsidRPr="00124D0E" w:rsidRDefault="00124D0E" w:rsidP="00124D0E">
      <w:pPr>
        <w:jc w:val="both"/>
        <w:rPr>
          <w:rFonts w:ascii="Verdana" w:hAnsi="Verdana"/>
          <w:sz w:val="24"/>
          <w:szCs w:val="24"/>
        </w:rPr>
      </w:pPr>
      <w:r w:rsidRPr="00124D0E">
        <w:rPr>
          <w:rFonts w:ascii="Verdana" w:hAnsi="Verdana"/>
          <w:sz w:val="24"/>
          <w:szCs w:val="24"/>
        </w:rPr>
        <w:t xml:space="preserve">La </w:t>
      </w:r>
      <w:r w:rsidRPr="00124D0E">
        <w:rPr>
          <w:rFonts w:ascii="Verdana" w:hAnsi="Verdana"/>
          <w:b/>
          <w:bCs/>
          <w:sz w:val="24"/>
          <w:szCs w:val="24"/>
        </w:rPr>
        <w:t>consommation en basse tension (BT)</w:t>
      </w:r>
      <w:r w:rsidRPr="00124D0E">
        <w:rPr>
          <w:rFonts w:ascii="Verdana" w:hAnsi="Verdana"/>
          <w:sz w:val="24"/>
          <w:szCs w:val="24"/>
        </w:rPr>
        <w:t xml:space="preserve">, tous profils confondus (YMR, AMR, SMART, exclusif nuit), atteint </w:t>
      </w:r>
      <w:r w:rsidRPr="00124D0E">
        <w:rPr>
          <w:rFonts w:ascii="Verdana" w:hAnsi="Verdana"/>
          <w:b/>
          <w:bCs/>
          <w:sz w:val="24"/>
          <w:szCs w:val="24"/>
        </w:rPr>
        <w:t>94.357.447 kWh</w:t>
      </w:r>
      <w:r w:rsidRPr="00124D0E">
        <w:rPr>
          <w:rFonts w:ascii="Verdana" w:hAnsi="Verdana"/>
          <w:sz w:val="24"/>
          <w:szCs w:val="24"/>
        </w:rPr>
        <w:t xml:space="preserve">, contre 92.937.497 kWh en 2023, soit une </w:t>
      </w:r>
      <w:r w:rsidRPr="00124D0E">
        <w:rPr>
          <w:rFonts w:ascii="Verdana" w:hAnsi="Verdana"/>
          <w:b/>
          <w:bCs/>
          <w:sz w:val="24"/>
          <w:szCs w:val="24"/>
        </w:rPr>
        <w:t>hausse modérée de 1,53 %</w:t>
      </w:r>
      <w:r w:rsidRPr="00124D0E">
        <w:rPr>
          <w:rFonts w:ascii="Verdana" w:hAnsi="Verdana"/>
          <w:sz w:val="24"/>
          <w:szCs w:val="24"/>
        </w:rPr>
        <w:t xml:space="preserve">. Cette évolution reflète une croissance continue de la consommation résidentielle et tertiaire, en lien avec la généralisation du chauffage électrique, de la mobilité électrique, ainsi que l’accroissement du nombre de clients équipés de compteurs intelligents SMART. Parmi les communes, </w:t>
      </w:r>
      <w:r w:rsidRPr="00124D0E">
        <w:rPr>
          <w:rFonts w:ascii="Verdana" w:hAnsi="Verdana"/>
          <w:b/>
          <w:bCs/>
          <w:sz w:val="24"/>
          <w:szCs w:val="24"/>
        </w:rPr>
        <w:t>Andenne reste le principal pôle de consommation BT</w:t>
      </w:r>
      <w:r w:rsidRPr="00124D0E">
        <w:rPr>
          <w:rFonts w:ascii="Verdana" w:hAnsi="Verdana"/>
          <w:sz w:val="24"/>
          <w:szCs w:val="24"/>
        </w:rPr>
        <w:t xml:space="preserve"> avec plus de </w:t>
      </w:r>
      <w:r w:rsidRPr="00124D0E">
        <w:rPr>
          <w:rFonts w:ascii="Verdana" w:hAnsi="Verdana"/>
          <w:b/>
          <w:bCs/>
          <w:sz w:val="24"/>
          <w:szCs w:val="24"/>
        </w:rPr>
        <w:t xml:space="preserve">48,9 </w:t>
      </w:r>
      <w:proofErr w:type="gramStart"/>
      <w:r w:rsidRPr="00124D0E">
        <w:rPr>
          <w:rFonts w:ascii="Verdana" w:hAnsi="Verdana"/>
          <w:b/>
          <w:bCs/>
          <w:sz w:val="24"/>
          <w:szCs w:val="24"/>
        </w:rPr>
        <w:t>GWh</w:t>
      </w:r>
      <w:proofErr w:type="gramEnd"/>
      <w:r w:rsidRPr="00124D0E">
        <w:rPr>
          <w:rFonts w:ascii="Verdana" w:hAnsi="Verdana"/>
          <w:sz w:val="24"/>
          <w:szCs w:val="24"/>
        </w:rPr>
        <w:t xml:space="preserve">, suivie par </w:t>
      </w:r>
      <w:proofErr w:type="spellStart"/>
      <w:r w:rsidRPr="00124D0E">
        <w:rPr>
          <w:rFonts w:ascii="Verdana" w:hAnsi="Verdana"/>
          <w:sz w:val="24"/>
          <w:szCs w:val="24"/>
        </w:rPr>
        <w:t>Ohey</w:t>
      </w:r>
      <w:proofErr w:type="spellEnd"/>
      <w:r w:rsidRPr="00124D0E">
        <w:rPr>
          <w:rFonts w:ascii="Verdana" w:hAnsi="Verdana"/>
          <w:sz w:val="24"/>
          <w:szCs w:val="24"/>
        </w:rPr>
        <w:t xml:space="preserve"> (10,6 </w:t>
      </w:r>
      <w:proofErr w:type="gramStart"/>
      <w:r w:rsidRPr="00124D0E">
        <w:rPr>
          <w:rFonts w:ascii="Verdana" w:hAnsi="Verdana"/>
          <w:sz w:val="24"/>
          <w:szCs w:val="24"/>
        </w:rPr>
        <w:t>GWh</w:t>
      </w:r>
      <w:proofErr w:type="gramEnd"/>
      <w:r w:rsidRPr="00124D0E">
        <w:rPr>
          <w:rFonts w:ascii="Verdana" w:hAnsi="Verdana"/>
          <w:sz w:val="24"/>
          <w:szCs w:val="24"/>
        </w:rPr>
        <w:t xml:space="preserve">) et </w:t>
      </w:r>
      <w:proofErr w:type="spellStart"/>
      <w:r w:rsidRPr="00124D0E">
        <w:rPr>
          <w:rFonts w:ascii="Verdana" w:hAnsi="Verdana"/>
          <w:sz w:val="24"/>
          <w:szCs w:val="24"/>
        </w:rPr>
        <w:t>Viroinval</w:t>
      </w:r>
      <w:proofErr w:type="spellEnd"/>
      <w:r w:rsidRPr="00124D0E">
        <w:rPr>
          <w:rFonts w:ascii="Verdana" w:hAnsi="Verdana"/>
          <w:sz w:val="24"/>
          <w:szCs w:val="24"/>
        </w:rPr>
        <w:t xml:space="preserve"> (11,7 </w:t>
      </w:r>
      <w:proofErr w:type="gramStart"/>
      <w:r w:rsidRPr="00124D0E">
        <w:rPr>
          <w:rFonts w:ascii="Verdana" w:hAnsi="Verdana"/>
          <w:sz w:val="24"/>
          <w:szCs w:val="24"/>
        </w:rPr>
        <w:t>GWh</w:t>
      </w:r>
      <w:proofErr w:type="gramEnd"/>
      <w:r w:rsidRPr="00124D0E">
        <w:rPr>
          <w:rFonts w:ascii="Verdana" w:hAnsi="Verdana"/>
          <w:sz w:val="24"/>
          <w:szCs w:val="24"/>
        </w:rPr>
        <w:t>).</w:t>
      </w:r>
    </w:p>
    <w:p w14:paraId="13D9759D" w14:textId="77777777" w:rsidR="00124D0E" w:rsidRPr="00124D0E" w:rsidRDefault="00124D0E" w:rsidP="00124D0E">
      <w:pPr>
        <w:jc w:val="both"/>
        <w:rPr>
          <w:rFonts w:ascii="Verdana" w:hAnsi="Verdana"/>
          <w:sz w:val="24"/>
          <w:szCs w:val="24"/>
        </w:rPr>
      </w:pPr>
      <w:r w:rsidRPr="00124D0E">
        <w:rPr>
          <w:rFonts w:ascii="Verdana" w:hAnsi="Verdana"/>
          <w:sz w:val="24"/>
          <w:szCs w:val="24"/>
        </w:rPr>
        <w:t xml:space="preserve">La </w:t>
      </w:r>
      <w:r w:rsidRPr="00124D0E">
        <w:rPr>
          <w:rFonts w:ascii="Verdana" w:hAnsi="Verdana"/>
          <w:b/>
          <w:bCs/>
          <w:sz w:val="24"/>
          <w:szCs w:val="24"/>
        </w:rPr>
        <w:t>consommation en Direct BT</w:t>
      </w:r>
      <w:r w:rsidRPr="00124D0E">
        <w:rPr>
          <w:rFonts w:ascii="Verdana" w:hAnsi="Verdana"/>
          <w:sz w:val="24"/>
          <w:szCs w:val="24"/>
        </w:rPr>
        <w:t xml:space="preserve">, c’est-à-dire l’alimentation directe sans passage par un transformateur secondaire, connaît une progression notable de </w:t>
      </w:r>
      <w:r w:rsidRPr="00124D0E">
        <w:rPr>
          <w:rFonts w:ascii="Verdana" w:hAnsi="Verdana"/>
          <w:b/>
          <w:bCs/>
          <w:sz w:val="24"/>
          <w:szCs w:val="24"/>
        </w:rPr>
        <w:t>9,71 %</w:t>
      </w:r>
      <w:r w:rsidRPr="00124D0E">
        <w:rPr>
          <w:rFonts w:ascii="Verdana" w:hAnsi="Verdana"/>
          <w:sz w:val="24"/>
          <w:szCs w:val="24"/>
        </w:rPr>
        <w:t xml:space="preserve">, pour atteindre </w:t>
      </w:r>
      <w:r w:rsidRPr="00124D0E">
        <w:rPr>
          <w:rFonts w:ascii="Verdana" w:hAnsi="Verdana"/>
          <w:b/>
          <w:bCs/>
          <w:sz w:val="24"/>
          <w:szCs w:val="24"/>
        </w:rPr>
        <w:t>5.616.208 kWh</w:t>
      </w:r>
      <w:r w:rsidRPr="00124D0E">
        <w:rPr>
          <w:rFonts w:ascii="Verdana" w:hAnsi="Verdana"/>
          <w:sz w:val="24"/>
          <w:szCs w:val="24"/>
        </w:rPr>
        <w:t>, contre 5.119.357 kWh en 2023. Cette augmentation reflète le raccordement de nouveaux utilisateurs professionnels ou collectifs en alimentation directe, notamment dans les secteurs industriels et des équipements publics.</w:t>
      </w:r>
    </w:p>
    <w:p w14:paraId="1881C57B" w14:textId="77777777" w:rsidR="00124D0E" w:rsidRPr="00124D0E" w:rsidRDefault="00124D0E" w:rsidP="00124D0E">
      <w:pPr>
        <w:jc w:val="both"/>
        <w:rPr>
          <w:rFonts w:ascii="Verdana" w:hAnsi="Verdana"/>
          <w:sz w:val="24"/>
          <w:szCs w:val="24"/>
        </w:rPr>
      </w:pPr>
      <w:r w:rsidRPr="00124D0E">
        <w:rPr>
          <w:rFonts w:ascii="Verdana" w:hAnsi="Verdana"/>
          <w:sz w:val="24"/>
          <w:szCs w:val="24"/>
        </w:rPr>
        <w:t xml:space="preserve">En ce qui concerne la </w:t>
      </w:r>
      <w:r w:rsidRPr="00124D0E">
        <w:rPr>
          <w:rFonts w:ascii="Verdana" w:hAnsi="Verdana"/>
          <w:b/>
          <w:bCs/>
          <w:sz w:val="24"/>
          <w:szCs w:val="24"/>
        </w:rPr>
        <w:t>moyenne tension (26 kV)</w:t>
      </w:r>
      <w:r w:rsidRPr="00124D0E">
        <w:rPr>
          <w:rFonts w:ascii="Verdana" w:hAnsi="Verdana"/>
          <w:sz w:val="24"/>
          <w:szCs w:val="24"/>
        </w:rPr>
        <w:t xml:space="preserve">, une </w:t>
      </w:r>
      <w:r w:rsidRPr="00124D0E">
        <w:rPr>
          <w:rFonts w:ascii="Verdana" w:hAnsi="Verdana"/>
          <w:b/>
          <w:bCs/>
          <w:sz w:val="24"/>
          <w:szCs w:val="24"/>
        </w:rPr>
        <w:t>légère baisse de 1,84 %</w:t>
      </w:r>
      <w:r w:rsidRPr="00124D0E">
        <w:rPr>
          <w:rFonts w:ascii="Verdana" w:hAnsi="Verdana"/>
          <w:sz w:val="24"/>
          <w:szCs w:val="24"/>
        </w:rPr>
        <w:t xml:space="preserve"> est observée, avec une fourniture totale de </w:t>
      </w:r>
      <w:r w:rsidRPr="00124D0E">
        <w:rPr>
          <w:rFonts w:ascii="Verdana" w:hAnsi="Verdana"/>
          <w:b/>
          <w:bCs/>
          <w:sz w:val="24"/>
          <w:szCs w:val="24"/>
        </w:rPr>
        <w:t>83.963.844 kWh</w:t>
      </w:r>
      <w:r w:rsidRPr="00124D0E">
        <w:rPr>
          <w:rFonts w:ascii="Verdana" w:hAnsi="Verdana"/>
          <w:sz w:val="24"/>
          <w:szCs w:val="24"/>
        </w:rPr>
        <w:t xml:space="preserve"> contre 85.540.872 kWh en 2023. Cette diminution s’explique en partie par une optimisation des profils de charge et la montée en puissance de certaines installations de production locale chez les clients MT. </w:t>
      </w:r>
      <w:r w:rsidRPr="00124D0E">
        <w:rPr>
          <w:rFonts w:ascii="Verdana" w:hAnsi="Verdana"/>
          <w:b/>
          <w:bCs/>
          <w:sz w:val="24"/>
          <w:szCs w:val="24"/>
        </w:rPr>
        <w:t xml:space="preserve">Andenne concentre à elle seule 74,7 </w:t>
      </w:r>
      <w:proofErr w:type="gramStart"/>
      <w:r w:rsidRPr="00124D0E">
        <w:rPr>
          <w:rFonts w:ascii="Verdana" w:hAnsi="Verdana"/>
          <w:b/>
          <w:bCs/>
          <w:sz w:val="24"/>
          <w:szCs w:val="24"/>
        </w:rPr>
        <w:t>GWh</w:t>
      </w:r>
      <w:proofErr w:type="gramEnd"/>
      <w:r w:rsidRPr="00124D0E">
        <w:rPr>
          <w:rFonts w:ascii="Verdana" w:hAnsi="Verdana"/>
          <w:sz w:val="24"/>
          <w:szCs w:val="24"/>
        </w:rPr>
        <w:t xml:space="preserve"> sur ce segment, confirmant sa position centrale en termes d’infrastructures industrielles et de grands consommateurs.</w:t>
      </w:r>
    </w:p>
    <w:p w14:paraId="4581B110" w14:textId="77777777" w:rsidR="00124D0E" w:rsidRPr="00124D0E" w:rsidRDefault="00124D0E" w:rsidP="00124D0E">
      <w:pPr>
        <w:jc w:val="both"/>
        <w:rPr>
          <w:rFonts w:ascii="Verdana" w:hAnsi="Verdana"/>
          <w:sz w:val="24"/>
          <w:szCs w:val="24"/>
        </w:rPr>
      </w:pPr>
      <w:r w:rsidRPr="00124D0E">
        <w:rPr>
          <w:rFonts w:ascii="Verdana" w:hAnsi="Verdana"/>
          <w:sz w:val="24"/>
          <w:szCs w:val="24"/>
        </w:rPr>
        <w:t xml:space="preserve">La </w:t>
      </w:r>
      <w:r w:rsidRPr="00124D0E">
        <w:rPr>
          <w:rFonts w:ascii="Verdana" w:hAnsi="Verdana"/>
          <w:b/>
          <w:bCs/>
          <w:sz w:val="24"/>
          <w:szCs w:val="24"/>
        </w:rPr>
        <w:t>fourniture via le réseau de transport (Trans MT)</w:t>
      </w:r>
      <w:r w:rsidRPr="00124D0E">
        <w:rPr>
          <w:rFonts w:ascii="Verdana" w:hAnsi="Verdana"/>
          <w:sz w:val="24"/>
          <w:szCs w:val="24"/>
        </w:rPr>
        <w:t xml:space="preserve">, bien qu’encore marginale, enregistre une progression significative de </w:t>
      </w:r>
      <w:r w:rsidRPr="00124D0E">
        <w:rPr>
          <w:rFonts w:ascii="Verdana" w:hAnsi="Verdana"/>
          <w:b/>
          <w:bCs/>
          <w:sz w:val="24"/>
          <w:szCs w:val="24"/>
        </w:rPr>
        <w:t>42,37 %</w:t>
      </w:r>
      <w:r w:rsidRPr="00124D0E">
        <w:rPr>
          <w:rFonts w:ascii="Verdana" w:hAnsi="Verdana"/>
          <w:sz w:val="24"/>
          <w:szCs w:val="24"/>
        </w:rPr>
        <w:t xml:space="preserve">, atteignant </w:t>
      </w:r>
      <w:r w:rsidRPr="00124D0E">
        <w:rPr>
          <w:rFonts w:ascii="Verdana" w:hAnsi="Verdana"/>
          <w:b/>
          <w:bCs/>
          <w:sz w:val="24"/>
          <w:szCs w:val="24"/>
        </w:rPr>
        <w:t>122.158 kWh</w:t>
      </w:r>
      <w:r w:rsidRPr="00124D0E">
        <w:rPr>
          <w:rFonts w:ascii="Verdana" w:hAnsi="Verdana"/>
          <w:sz w:val="24"/>
          <w:szCs w:val="24"/>
        </w:rPr>
        <w:t xml:space="preserve"> contre 85.801 kWh en 2023. Cette évolution est liée à l’intégration de nouveaux utilisateurs à la frontière du réseau de distribution et du réseau de transport, ou à des transferts spécifiques en inter-GRD.</w:t>
      </w:r>
    </w:p>
    <w:p w14:paraId="1B728131" w14:textId="77777777" w:rsidR="00124D0E" w:rsidRPr="00124D0E" w:rsidRDefault="00124D0E" w:rsidP="00124D0E">
      <w:pPr>
        <w:jc w:val="both"/>
        <w:rPr>
          <w:rFonts w:ascii="Verdana" w:hAnsi="Verdana"/>
          <w:sz w:val="24"/>
          <w:szCs w:val="24"/>
        </w:rPr>
      </w:pPr>
      <w:r w:rsidRPr="00124D0E">
        <w:rPr>
          <w:rFonts w:ascii="Verdana" w:hAnsi="Verdana"/>
          <w:sz w:val="24"/>
          <w:szCs w:val="24"/>
        </w:rPr>
        <w:lastRenderedPageBreak/>
        <w:t xml:space="preserve">En cumulant les profils horaires, la ventilation de la fourniture globale montre une </w:t>
      </w:r>
      <w:r w:rsidRPr="00124D0E">
        <w:rPr>
          <w:rFonts w:ascii="Verdana" w:hAnsi="Verdana"/>
          <w:b/>
          <w:bCs/>
          <w:sz w:val="24"/>
          <w:szCs w:val="24"/>
        </w:rPr>
        <w:t>hausse de 2,39 % en heures pleines (HP)</w:t>
      </w:r>
      <w:r w:rsidRPr="00124D0E">
        <w:rPr>
          <w:rFonts w:ascii="Verdana" w:hAnsi="Verdana"/>
          <w:sz w:val="24"/>
          <w:szCs w:val="24"/>
        </w:rPr>
        <w:t xml:space="preserve">, passant de 101.853.997 kWh à 104.290.979 kWh, traduisant une </w:t>
      </w:r>
      <w:r w:rsidRPr="00124D0E">
        <w:rPr>
          <w:rFonts w:ascii="Verdana" w:hAnsi="Verdana"/>
          <w:b/>
          <w:bCs/>
          <w:sz w:val="24"/>
          <w:szCs w:val="24"/>
        </w:rPr>
        <w:t>augmentation des besoins énergétiques en période de forte demande</w:t>
      </w:r>
      <w:r w:rsidRPr="00124D0E">
        <w:rPr>
          <w:rFonts w:ascii="Verdana" w:hAnsi="Verdana"/>
          <w:sz w:val="24"/>
          <w:szCs w:val="24"/>
        </w:rPr>
        <w:t xml:space="preserve">. En revanche, une </w:t>
      </w:r>
      <w:r w:rsidRPr="00124D0E">
        <w:rPr>
          <w:rFonts w:ascii="Verdana" w:hAnsi="Verdana"/>
          <w:b/>
          <w:bCs/>
          <w:sz w:val="24"/>
          <w:szCs w:val="24"/>
        </w:rPr>
        <w:t>baisse de 2,52 % en heures creuses (HC)</w:t>
      </w:r>
      <w:r w:rsidRPr="00124D0E">
        <w:rPr>
          <w:rFonts w:ascii="Verdana" w:hAnsi="Verdana"/>
          <w:sz w:val="24"/>
          <w:szCs w:val="24"/>
        </w:rPr>
        <w:t xml:space="preserve"> est constatée, ce qui pourrait s’expliquer par un déplacement des charges vers des plages plus dynamiques, ou une moindre utilisation du mode "exclusif nuit".</w:t>
      </w:r>
    </w:p>
    <w:p w14:paraId="12D2E821" w14:textId="77777777" w:rsidR="00124D0E" w:rsidRPr="000B01EA" w:rsidRDefault="00124D0E" w:rsidP="00124D0E">
      <w:pPr>
        <w:jc w:val="both"/>
        <w:rPr>
          <w:rFonts w:ascii="Verdana" w:hAnsi="Verdana"/>
          <w:sz w:val="24"/>
          <w:szCs w:val="24"/>
        </w:rPr>
      </w:pPr>
      <w:r w:rsidRPr="00124D0E">
        <w:rPr>
          <w:rFonts w:ascii="Verdana" w:hAnsi="Verdana"/>
          <w:sz w:val="24"/>
          <w:szCs w:val="24"/>
        </w:rPr>
        <w:t xml:space="preserve">Cette évolution globale confirme la </w:t>
      </w:r>
      <w:r w:rsidRPr="00124D0E">
        <w:rPr>
          <w:rFonts w:ascii="Verdana" w:hAnsi="Verdana"/>
          <w:b/>
          <w:bCs/>
          <w:sz w:val="24"/>
          <w:szCs w:val="24"/>
        </w:rPr>
        <w:t>tendance à la croissance modérée mais constante</w:t>
      </w:r>
      <w:r w:rsidRPr="00124D0E">
        <w:rPr>
          <w:rFonts w:ascii="Verdana" w:hAnsi="Verdana"/>
          <w:sz w:val="24"/>
          <w:szCs w:val="24"/>
        </w:rPr>
        <w:t xml:space="preserve"> de la demande en basse tension, tandis que la moyenne tension reste relativement stable. Elle reflète aussi l’impact de la transition énergétique sur les comportements de consommation, la répartition temporelle des charges, et l’essor de la production décentralisée qui modifie les profils de fourniture historiques.</w:t>
      </w:r>
    </w:p>
    <w:p w14:paraId="7A21A4CE" w14:textId="77777777" w:rsidR="002D6C63" w:rsidRPr="000B01EA" w:rsidRDefault="002D6C63" w:rsidP="00124D0E">
      <w:pPr>
        <w:jc w:val="both"/>
        <w:rPr>
          <w:rFonts w:ascii="Verdana" w:hAnsi="Verdana"/>
          <w:sz w:val="24"/>
          <w:szCs w:val="24"/>
        </w:rPr>
      </w:pPr>
    </w:p>
    <w:p w14:paraId="18DE29F8" w14:textId="77777777" w:rsidR="002D6C63" w:rsidRPr="002D6C63" w:rsidRDefault="002D6C63" w:rsidP="002D6C63">
      <w:pPr>
        <w:jc w:val="both"/>
        <w:rPr>
          <w:rFonts w:ascii="Verdana" w:hAnsi="Verdana"/>
          <w:sz w:val="24"/>
          <w:szCs w:val="24"/>
        </w:rPr>
      </w:pPr>
      <w:r w:rsidRPr="002D6C63">
        <w:rPr>
          <w:rFonts w:ascii="Verdana" w:hAnsi="Verdana"/>
          <w:sz w:val="24"/>
          <w:szCs w:val="24"/>
        </w:rPr>
        <w:t xml:space="preserve">Un facteur clé à considérer dans l’évolution récente des volumes d’énergie fournis est la </w:t>
      </w:r>
      <w:r w:rsidRPr="002D6C63">
        <w:rPr>
          <w:rFonts w:ascii="Verdana" w:hAnsi="Verdana"/>
          <w:b/>
          <w:bCs/>
          <w:sz w:val="24"/>
          <w:szCs w:val="24"/>
        </w:rPr>
        <w:t>croissance rapide des installations photovoltaïques</w:t>
      </w:r>
      <w:r w:rsidRPr="002D6C63">
        <w:rPr>
          <w:rFonts w:ascii="Verdana" w:hAnsi="Verdana"/>
          <w:sz w:val="24"/>
          <w:szCs w:val="24"/>
        </w:rPr>
        <w:t xml:space="preserve">, tant en moyenne qu’en basse tension. Ce phénomène a un </w:t>
      </w:r>
      <w:r w:rsidRPr="002D6C63">
        <w:rPr>
          <w:rFonts w:ascii="Verdana" w:hAnsi="Verdana"/>
          <w:b/>
          <w:bCs/>
          <w:sz w:val="24"/>
          <w:szCs w:val="24"/>
        </w:rPr>
        <w:t>impact direct sur les volumes prélevés sur le réseau de distribution</w:t>
      </w:r>
      <w:r w:rsidRPr="002D6C63">
        <w:rPr>
          <w:rFonts w:ascii="Verdana" w:hAnsi="Verdana"/>
          <w:sz w:val="24"/>
          <w:szCs w:val="24"/>
        </w:rPr>
        <w:t xml:space="preserve">, mais aussi sur les </w:t>
      </w:r>
      <w:r w:rsidRPr="002D6C63">
        <w:rPr>
          <w:rFonts w:ascii="Verdana" w:hAnsi="Verdana"/>
          <w:b/>
          <w:bCs/>
          <w:sz w:val="24"/>
          <w:szCs w:val="24"/>
        </w:rPr>
        <w:t>profils de charge</w:t>
      </w:r>
      <w:r w:rsidRPr="002D6C63">
        <w:rPr>
          <w:rFonts w:ascii="Verdana" w:hAnsi="Verdana"/>
          <w:sz w:val="24"/>
          <w:szCs w:val="24"/>
        </w:rPr>
        <w:t>, notamment les pointes.</w:t>
      </w:r>
    </w:p>
    <w:p w14:paraId="1DFCC50B" w14:textId="77777777" w:rsidR="002D6C63" w:rsidRPr="002D6C63" w:rsidRDefault="002D6C63" w:rsidP="002D6C63">
      <w:pPr>
        <w:jc w:val="both"/>
        <w:rPr>
          <w:rFonts w:ascii="Verdana" w:hAnsi="Verdana"/>
          <w:sz w:val="24"/>
          <w:szCs w:val="24"/>
        </w:rPr>
      </w:pPr>
      <w:r w:rsidRPr="002D6C63">
        <w:rPr>
          <w:rFonts w:ascii="Verdana" w:hAnsi="Verdana"/>
          <w:sz w:val="24"/>
          <w:szCs w:val="24"/>
        </w:rPr>
        <w:t xml:space="preserve">Dans le </w:t>
      </w:r>
      <w:r w:rsidRPr="002D6C63">
        <w:rPr>
          <w:rFonts w:ascii="Verdana" w:hAnsi="Verdana"/>
          <w:b/>
          <w:bCs/>
          <w:sz w:val="24"/>
          <w:szCs w:val="24"/>
        </w:rPr>
        <w:t>bassin industriel d’Andenne</w:t>
      </w:r>
      <w:r w:rsidRPr="002D6C63">
        <w:rPr>
          <w:rFonts w:ascii="Verdana" w:hAnsi="Verdana"/>
          <w:sz w:val="24"/>
          <w:szCs w:val="24"/>
        </w:rPr>
        <w:t xml:space="preserve">, on observe une </w:t>
      </w:r>
      <w:r w:rsidRPr="002D6C63">
        <w:rPr>
          <w:rFonts w:ascii="Verdana" w:hAnsi="Verdana"/>
          <w:b/>
          <w:bCs/>
          <w:sz w:val="24"/>
          <w:szCs w:val="24"/>
        </w:rPr>
        <w:t>accélération des investissements photovoltaïques par les entreprises</w:t>
      </w:r>
      <w:r w:rsidRPr="002D6C63">
        <w:rPr>
          <w:rFonts w:ascii="Verdana" w:hAnsi="Verdana"/>
          <w:sz w:val="24"/>
          <w:szCs w:val="24"/>
        </w:rPr>
        <w:t xml:space="preserve">, stimulée par les modifications du régime des </w:t>
      </w:r>
      <w:r w:rsidRPr="002D6C63">
        <w:rPr>
          <w:rFonts w:ascii="Verdana" w:hAnsi="Verdana"/>
          <w:b/>
          <w:bCs/>
          <w:sz w:val="24"/>
          <w:szCs w:val="24"/>
        </w:rPr>
        <w:t>certificats verts</w:t>
      </w:r>
      <w:r w:rsidRPr="002D6C63">
        <w:rPr>
          <w:rFonts w:ascii="Verdana" w:hAnsi="Verdana"/>
          <w:sz w:val="24"/>
          <w:szCs w:val="24"/>
        </w:rPr>
        <w:t xml:space="preserve"> applicables aux installations supérieures à 10 kVA. Cette dynamique s’est </w:t>
      </w:r>
      <w:proofErr w:type="gramStart"/>
      <w:r w:rsidRPr="002D6C63">
        <w:rPr>
          <w:rFonts w:ascii="Verdana" w:hAnsi="Verdana"/>
          <w:sz w:val="24"/>
          <w:szCs w:val="24"/>
        </w:rPr>
        <w:t>traduite</w:t>
      </w:r>
      <w:proofErr w:type="gramEnd"/>
      <w:r w:rsidRPr="002D6C63">
        <w:rPr>
          <w:rFonts w:ascii="Verdana" w:hAnsi="Verdana"/>
          <w:sz w:val="24"/>
          <w:szCs w:val="24"/>
        </w:rPr>
        <w:t xml:space="preserve">, en 2023, par une production décentralisée estimée à environ </w:t>
      </w:r>
      <w:r w:rsidRPr="002D6C63">
        <w:rPr>
          <w:rFonts w:ascii="Verdana" w:hAnsi="Verdana"/>
          <w:b/>
          <w:bCs/>
          <w:sz w:val="24"/>
          <w:szCs w:val="24"/>
        </w:rPr>
        <w:t>15 millions de kWh</w:t>
      </w:r>
      <w:r w:rsidRPr="002D6C63">
        <w:rPr>
          <w:rFonts w:ascii="Verdana" w:hAnsi="Verdana"/>
          <w:sz w:val="24"/>
          <w:szCs w:val="24"/>
        </w:rPr>
        <w:t xml:space="preserve">, soit </w:t>
      </w:r>
      <w:r w:rsidRPr="002D6C63">
        <w:rPr>
          <w:rFonts w:ascii="Verdana" w:hAnsi="Verdana"/>
          <w:b/>
          <w:bCs/>
          <w:sz w:val="24"/>
          <w:szCs w:val="24"/>
        </w:rPr>
        <w:t>environ 12 % de la consommation totale des clients MT</w:t>
      </w:r>
      <w:r w:rsidRPr="002D6C63">
        <w:rPr>
          <w:rFonts w:ascii="Verdana" w:hAnsi="Verdana"/>
          <w:sz w:val="24"/>
          <w:szCs w:val="24"/>
        </w:rPr>
        <w:t xml:space="preserve">. Ce volume, bien que non injecté systématiquement dans le réseau, vient </w:t>
      </w:r>
      <w:r w:rsidRPr="002D6C63">
        <w:rPr>
          <w:rFonts w:ascii="Verdana" w:hAnsi="Verdana"/>
          <w:b/>
          <w:bCs/>
          <w:sz w:val="24"/>
          <w:szCs w:val="24"/>
        </w:rPr>
        <w:t>réduire la charge effective sur le réseau public</w:t>
      </w:r>
      <w:r w:rsidRPr="002D6C63">
        <w:rPr>
          <w:rFonts w:ascii="Verdana" w:hAnsi="Verdana"/>
          <w:sz w:val="24"/>
          <w:szCs w:val="24"/>
        </w:rPr>
        <w:t>, en particulier pendant les heures ensoleillées.</w:t>
      </w:r>
    </w:p>
    <w:p w14:paraId="05200872" w14:textId="77777777" w:rsidR="002D6C63" w:rsidRPr="002D6C63" w:rsidRDefault="002D6C63" w:rsidP="002D6C63">
      <w:pPr>
        <w:jc w:val="both"/>
        <w:rPr>
          <w:rFonts w:ascii="Verdana" w:hAnsi="Verdana"/>
          <w:sz w:val="24"/>
          <w:szCs w:val="24"/>
        </w:rPr>
      </w:pPr>
      <w:r w:rsidRPr="002D6C63">
        <w:rPr>
          <w:rFonts w:ascii="Verdana" w:hAnsi="Verdana"/>
          <w:sz w:val="24"/>
          <w:szCs w:val="24"/>
        </w:rPr>
        <w:t xml:space="preserve">Du côté des </w:t>
      </w:r>
      <w:r w:rsidRPr="002D6C63">
        <w:rPr>
          <w:rFonts w:ascii="Verdana" w:hAnsi="Verdana"/>
          <w:b/>
          <w:bCs/>
          <w:sz w:val="24"/>
          <w:szCs w:val="24"/>
        </w:rPr>
        <w:t>clients basse tension</w:t>
      </w:r>
      <w:r w:rsidRPr="002D6C63">
        <w:rPr>
          <w:rFonts w:ascii="Verdana" w:hAnsi="Verdana"/>
          <w:sz w:val="24"/>
          <w:szCs w:val="24"/>
        </w:rPr>
        <w:t xml:space="preserve">, une tendance équivalente est observée avec environ </w:t>
      </w:r>
      <w:r w:rsidRPr="002D6C63">
        <w:rPr>
          <w:rFonts w:ascii="Verdana" w:hAnsi="Verdana"/>
          <w:b/>
          <w:bCs/>
          <w:sz w:val="24"/>
          <w:szCs w:val="24"/>
        </w:rPr>
        <w:t>5 000 installations photovoltaïques</w:t>
      </w:r>
      <w:r w:rsidRPr="002D6C63">
        <w:rPr>
          <w:rFonts w:ascii="Verdana" w:hAnsi="Verdana"/>
          <w:sz w:val="24"/>
          <w:szCs w:val="24"/>
        </w:rPr>
        <w:t xml:space="preserve"> recensées sur le territoire de l’AIEG. Ces installations ont généré, en 2023, une production estimée entre </w:t>
      </w:r>
      <w:r w:rsidRPr="002D6C63">
        <w:rPr>
          <w:rFonts w:ascii="Verdana" w:hAnsi="Verdana"/>
          <w:b/>
          <w:bCs/>
          <w:sz w:val="24"/>
          <w:szCs w:val="24"/>
        </w:rPr>
        <w:t>20 et 25 millions de kWh</w:t>
      </w:r>
      <w:r w:rsidRPr="002D6C63">
        <w:rPr>
          <w:rFonts w:ascii="Verdana" w:hAnsi="Verdana"/>
          <w:sz w:val="24"/>
          <w:szCs w:val="24"/>
        </w:rPr>
        <w:t xml:space="preserve">, ce qui représente </w:t>
      </w:r>
      <w:r w:rsidRPr="002D6C63">
        <w:rPr>
          <w:rFonts w:ascii="Verdana" w:hAnsi="Verdana"/>
          <w:b/>
          <w:bCs/>
          <w:sz w:val="24"/>
          <w:szCs w:val="24"/>
        </w:rPr>
        <w:t>près de 20 % de la consommation annuelle des ménages BT</w:t>
      </w:r>
      <w:r w:rsidRPr="002D6C63">
        <w:rPr>
          <w:rFonts w:ascii="Verdana" w:hAnsi="Verdana"/>
          <w:sz w:val="24"/>
          <w:szCs w:val="24"/>
        </w:rPr>
        <w:t xml:space="preserve">. Ce phénomène contribue à la baisse apparente des volumes acheminés, tout en posant de nouveaux défis en matière de </w:t>
      </w:r>
      <w:r w:rsidRPr="002D6C63">
        <w:rPr>
          <w:rFonts w:ascii="Verdana" w:hAnsi="Verdana"/>
          <w:b/>
          <w:bCs/>
          <w:sz w:val="24"/>
          <w:szCs w:val="24"/>
        </w:rPr>
        <w:t>gestion de la tension</w:t>
      </w:r>
      <w:r w:rsidRPr="002D6C63">
        <w:rPr>
          <w:rFonts w:ascii="Verdana" w:hAnsi="Verdana"/>
          <w:sz w:val="24"/>
          <w:szCs w:val="24"/>
        </w:rPr>
        <w:t xml:space="preserve"> et de </w:t>
      </w:r>
      <w:r w:rsidRPr="002D6C63">
        <w:rPr>
          <w:rFonts w:ascii="Verdana" w:hAnsi="Verdana"/>
          <w:b/>
          <w:bCs/>
          <w:sz w:val="24"/>
          <w:szCs w:val="24"/>
        </w:rPr>
        <w:t>stabilité du réseau</w:t>
      </w:r>
      <w:r w:rsidRPr="002D6C63">
        <w:rPr>
          <w:rFonts w:ascii="Verdana" w:hAnsi="Verdana"/>
          <w:sz w:val="24"/>
          <w:szCs w:val="24"/>
        </w:rPr>
        <w:t>, notamment dans les zones à forte densité de production résidentielle.</w:t>
      </w:r>
    </w:p>
    <w:p w14:paraId="38F0C1E6" w14:textId="77777777" w:rsidR="002D6C63" w:rsidRPr="002D6C63" w:rsidRDefault="002D6C63" w:rsidP="002D6C63">
      <w:pPr>
        <w:jc w:val="both"/>
        <w:rPr>
          <w:rFonts w:ascii="Verdana" w:hAnsi="Verdana"/>
          <w:sz w:val="24"/>
          <w:szCs w:val="24"/>
        </w:rPr>
      </w:pPr>
      <w:r w:rsidRPr="002D6C63">
        <w:rPr>
          <w:rFonts w:ascii="Verdana" w:hAnsi="Verdana"/>
          <w:sz w:val="24"/>
          <w:szCs w:val="24"/>
        </w:rPr>
        <w:t xml:space="preserve">Il convient également de replacer cette évolution dans un contexte plus large. La </w:t>
      </w:r>
      <w:r w:rsidRPr="002D6C63">
        <w:rPr>
          <w:rFonts w:ascii="Verdana" w:hAnsi="Verdana"/>
          <w:b/>
          <w:bCs/>
          <w:sz w:val="24"/>
          <w:szCs w:val="24"/>
        </w:rPr>
        <w:t>reprise post-COVID</w:t>
      </w:r>
      <w:r w:rsidRPr="002D6C63">
        <w:rPr>
          <w:rFonts w:ascii="Verdana" w:hAnsi="Verdana"/>
          <w:sz w:val="24"/>
          <w:szCs w:val="24"/>
        </w:rPr>
        <w:t xml:space="preserve"> a certes eu un effet rattrapage sur certaines consommations professionnelles, mais les tendances structurelles s’imposent progressivement : </w:t>
      </w:r>
      <w:r w:rsidRPr="002D6C63">
        <w:rPr>
          <w:rFonts w:ascii="Verdana" w:hAnsi="Verdana"/>
          <w:b/>
          <w:bCs/>
          <w:sz w:val="24"/>
          <w:szCs w:val="24"/>
        </w:rPr>
        <w:t>généralisation du télétravail</w:t>
      </w:r>
      <w:r w:rsidRPr="002D6C63">
        <w:rPr>
          <w:rFonts w:ascii="Verdana" w:hAnsi="Verdana"/>
          <w:sz w:val="24"/>
          <w:szCs w:val="24"/>
        </w:rPr>
        <w:t xml:space="preserve">, </w:t>
      </w:r>
      <w:r w:rsidRPr="002D6C63">
        <w:rPr>
          <w:rFonts w:ascii="Verdana" w:hAnsi="Verdana"/>
          <w:b/>
          <w:bCs/>
          <w:sz w:val="24"/>
          <w:szCs w:val="24"/>
        </w:rPr>
        <w:t xml:space="preserve">essor des </w:t>
      </w:r>
      <w:r w:rsidRPr="002D6C63">
        <w:rPr>
          <w:rFonts w:ascii="Verdana" w:hAnsi="Verdana"/>
          <w:b/>
          <w:bCs/>
          <w:sz w:val="24"/>
          <w:szCs w:val="24"/>
        </w:rPr>
        <w:lastRenderedPageBreak/>
        <w:t>pompes à chaleur</w:t>
      </w:r>
      <w:r w:rsidRPr="002D6C63">
        <w:rPr>
          <w:rFonts w:ascii="Verdana" w:hAnsi="Verdana"/>
          <w:sz w:val="24"/>
          <w:szCs w:val="24"/>
        </w:rPr>
        <w:t xml:space="preserve">, et surtout </w:t>
      </w:r>
      <w:r w:rsidRPr="002D6C63">
        <w:rPr>
          <w:rFonts w:ascii="Verdana" w:hAnsi="Verdana"/>
          <w:b/>
          <w:bCs/>
          <w:sz w:val="24"/>
          <w:szCs w:val="24"/>
        </w:rPr>
        <w:t>déploiement massif de véhicules électriques et de bornes de recharge à domicile</w:t>
      </w:r>
      <w:r w:rsidRPr="002D6C63">
        <w:rPr>
          <w:rFonts w:ascii="Verdana" w:hAnsi="Verdana"/>
          <w:sz w:val="24"/>
          <w:szCs w:val="24"/>
        </w:rPr>
        <w:t xml:space="preserve">. Ces éléments modifient profondément </w:t>
      </w:r>
      <w:r w:rsidRPr="002D6C63">
        <w:rPr>
          <w:rFonts w:ascii="Verdana" w:hAnsi="Verdana"/>
          <w:b/>
          <w:bCs/>
          <w:sz w:val="24"/>
          <w:szCs w:val="24"/>
        </w:rPr>
        <w:t>les profils de consommation</w:t>
      </w:r>
      <w:r w:rsidRPr="002D6C63">
        <w:rPr>
          <w:rFonts w:ascii="Verdana" w:hAnsi="Verdana"/>
          <w:sz w:val="24"/>
          <w:szCs w:val="24"/>
        </w:rPr>
        <w:t xml:space="preserve"> : augmentation des charges résidentielles, étalement temporel de la demande, mais aussi </w:t>
      </w:r>
      <w:r w:rsidRPr="002D6C63">
        <w:rPr>
          <w:rFonts w:ascii="Verdana" w:hAnsi="Verdana"/>
          <w:b/>
          <w:bCs/>
          <w:sz w:val="24"/>
          <w:szCs w:val="24"/>
        </w:rPr>
        <w:t>apparition de nouvelles pointes de charge</w:t>
      </w:r>
      <w:r w:rsidRPr="002D6C63">
        <w:rPr>
          <w:rFonts w:ascii="Verdana" w:hAnsi="Verdana"/>
          <w:sz w:val="24"/>
          <w:szCs w:val="24"/>
        </w:rPr>
        <w:t>, localisées et parfois difficilement prévisibles.</w:t>
      </w:r>
    </w:p>
    <w:p w14:paraId="10DB97BC" w14:textId="77777777" w:rsidR="002D6C63" w:rsidRPr="00124D0E" w:rsidRDefault="002D6C63" w:rsidP="00124D0E">
      <w:pPr>
        <w:jc w:val="both"/>
        <w:rPr>
          <w:rFonts w:ascii="Verdana" w:hAnsi="Verdana"/>
        </w:rPr>
      </w:pPr>
    </w:p>
    <w:p w14:paraId="2AD80126" w14:textId="77777777" w:rsidR="00124D0E" w:rsidRDefault="00124D0E" w:rsidP="002873E9">
      <w:pPr>
        <w:jc w:val="both"/>
        <w:rPr>
          <w:rFonts w:ascii="Verdana" w:hAnsi="Verdana"/>
        </w:rPr>
      </w:pPr>
    </w:p>
    <w:p w14:paraId="407CFA8D" w14:textId="77777777" w:rsidR="002873E9" w:rsidRDefault="002873E9" w:rsidP="00122BFC">
      <w:pPr>
        <w:rPr>
          <w:rFonts w:ascii="Verdana" w:hAnsi="Verdana"/>
        </w:rPr>
      </w:pPr>
    </w:p>
    <w:p w14:paraId="32984775" w14:textId="7DBBAF3B" w:rsidR="002873E9" w:rsidRPr="00122BFC" w:rsidRDefault="002873E9" w:rsidP="00122BFC">
      <w:pPr>
        <w:rPr>
          <w:rFonts w:ascii="Verdana" w:hAnsi="Verdana"/>
        </w:rPr>
        <w:sectPr w:rsidR="002873E9" w:rsidRPr="00122BFC" w:rsidSect="00B25CE3">
          <w:footerReference w:type="default" r:id="rId12"/>
          <w:pgSz w:w="11906" w:h="16838"/>
          <w:pgMar w:top="1418" w:right="1418" w:bottom="1418" w:left="1418" w:header="709" w:footer="272" w:gutter="0"/>
          <w:cols w:space="708"/>
          <w:docGrid w:linePitch="360"/>
        </w:sectPr>
      </w:pPr>
    </w:p>
    <w:p w14:paraId="586C52C2" w14:textId="046E6ED6" w:rsidR="00CE103B" w:rsidRDefault="002D6C63" w:rsidP="00BE07FA">
      <w:pPr>
        <w:jc w:val="center"/>
        <w:rPr>
          <w:rFonts w:ascii="Verdana" w:hAnsi="Verdana"/>
        </w:rPr>
      </w:pPr>
      <w:r w:rsidRPr="002D6C63">
        <w:rPr>
          <w:noProof/>
        </w:rPr>
        <w:lastRenderedPageBreak/>
        <w:drawing>
          <wp:inline distT="0" distB="0" distL="0" distR="0" wp14:anchorId="288D742A" wp14:editId="55E31A22">
            <wp:extent cx="8891270" cy="5415280"/>
            <wp:effectExtent l="0" t="0" r="5080" b="0"/>
            <wp:docPr id="1448832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3238" name=""/>
                    <pic:cNvPicPr/>
                  </pic:nvPicPr>
                  <pic:blipFill>
                    <a:blip r:embed="rId13"/>
                    <a:stretch>
                      <a:fillRect/>
                    </a:stretch>
                  </pic:blipFill>
                  <pic:spPr>
                    <a:xfrm>
                      <a:off x="0" y="0"/>
                      <a:ext cx="8891270" cy="5415280"/>
                    </a:xfrm>
                    <a:prstGeom prst="rect">
                      <a:avLst/>
                    </a:prstGeom>
                  </pic:spPr>
                </pic:pic>
              </a:graphicData>
            </a:graphic>
          </wp:inline>
        </w:drawing>
      </w:r>
    </w:p>
    <w:p w14:paraId="3F0CC7AF" w14:textId="22904EB9" w:rsidR="00CF7E09" w:rsidRDefault="00CF7E09" w:rsidP="002B5B6F">
      <w:pPr>
        <w:rPr>
          <w:rFonts w:ascii="Verdana" w:hAnsi="Verdana"/>
        </w:rPr>
        <w:sectPr w:rsidR="00CF7E09" w:rsidSect="00BE07FA">
          <w:pgSz w:w="16838" w:h="11906" w:orient="landscape"/>
          <w:pgMar w:top="1418" w:right="1418" w:bottom="1418" w:left="1418" w:header="709" w:footer="272" w:gutter="0"/>
          <w:cols w:space="708"/>
          <w:docGrid w:linePitch="360"/>
        </w:sectPr>
      </w:pPr>
    </w:p>
    <w:p w14:paraId="74D0DB03" w14:textId="1CC06A9A" w:rsidR="00ED47F6" w:rsidRPr="006438A3" w:rsidRDefault="00ED47F6" w:rsidP="00ED47F6">
      <w:pPr>
        <w:pStyle w:val="aieg4"/>
      </w:pPr>
      <w:r>
        <w:lastRenderedPageBreak/>
        <w:t>Les postes Sources</w:t>
      </w:r>
    </w:p>
    <w:p w14:paraId="3C2A7954" w14:textId="470EB5BF" w:rsidR="00082A5A" w:rsidRDefault="00082A5A" w:rsidP="00727C90">
      <w:pPr>
        <w:ind w:left="2124"/>
        <w:rPr>
          <w:rFonts w:ascii="Verdana" w:hAnsi="Verdana"/>
          <w:i/>
          <w:color w:val="FF0000"/>
          <w:sz w:val="20"/>
          <w:szCs w:val="20"/>
        </w:rPr>
      </w:pPr>
      <w:r w:rsidRPr="0082683B">
        <w:rPr>
          <w:rFonts w:ascii="Verdana" w:hAnsi="Verdana"/>
          <w:i/>
          <w:color w:val="FF0000"/>
          <w:sz w:val="20"/>
          <w:szCs w:val="20"/>
        </w:rPr>
        <w:t xml:space="preserve">a) Puissance Garantie en Prélèvement </w:t>
      </w:r>
    </w:p>
    <w:p w14:paraId="0D6297E3" w14:textId="77777777" w:rsidR="00B635BD" w:rsidRPr="00B635BD" w:rsidRDefault="00B635BD" w:rsidP="00B635BD">
      <w:pPr>
        <w:spacing w:after="240" w:line="240" w:lineRule="auto"/>
        <w:jc w:val="both"/>
        <w:rPr>
          <w:rFonts w:ascii="Verdana" w:hAnsi="Verdana"/>
          <w:sz w:val="24"/>
          <w:szCs w:val="24"/>
        </w:rPr>
      </w:pPr>
      <w:r w:rsidRPr="00B635BD">
        <w:rPr>
          <w:rFonts w:ascii="Verdana" w:hAnsi="Verdana"/>
          <w:sz w:val="24"/>
          <w:szCs w:val="24"/>
        </w:rPr>
        <w:t xml:space="preserve">Pour la période 2025-2030, le GRD AIEG anticipe un </w:t>
      </w:r>
      <w:r w:rsidRPr="00B635BD">
        <w:rPr>
          <w:rFonts w:ascii="Verdana" w:hAnsi="Verdana"/>
          <w:b/>
          <w:bCs/>
          <w:sz w:val="24"/>
          <w:szCs w:val="24"/>
        </w:rPr>
        <w:t>taux annuel moyen d’augmentation de la charge de 2 %</w:t>
      </w:r>
      <w:r w:rsidRPr="00B635BD">
        <w:rPr>
          <w:rFonts w:ascii="Verdana" w:hAnsi="Verdana"/>
          <w:sz w:val="24"/>
          <w:szCs w:val="24"/>
        </w:rPr>
        <w:t xml:space="preserve">, en termes de volume prélevé (kWh). Cette croissance modérée s’explique par la tendance actuelle à l’électrification des usages, notamment dans les secteurs résidentiels et industriels, et à l’augmentation du nombre de points de charge pour véhicules électriques. Toutefois, cette hausse en énergie consommée sera en grande partie </w:t>
      </w:r>
      <w:r w:rsidRPr="00B635BD">
        <w:rPr>
          <w:rFonts w:ascii="Verdana" w:hAnsi="Verdana"/>
          <w:b/>
          <w:bCs/>
          <w:sz w:val="24"/>
          <w:szCs w:val="24"/>
        </w:rPr>
        <w:t>compensée par le développement de la production décentralisée</w:t>
      </w:r>
      <w:r w:rsidRPr="00B635BD">
        <w:rPr>
          <w:rFonts w:ascii="Verdana" w:hAnsi="Verdana"/>
          <w:sz w:val="24"/>
          <w:szCs w:val="24"/>
        </w:rPr>
        <w:t xml:space="preserve"> (principalement photovoltaïque), déjà bien implantée sur le territoire. Malgré cela, le </w:t>
      </w:r>
      <w:r w:rsidRPr="00B635BD">
        <w:rPr>
          <w:rFonts w:ascii="Verdana" w:hAnsi="Verdana"/>
          <w:b/>
          <w:bCs/>
          <w:sz w:val="24"/>
          <w:szCs w:val="24"/>
        </w:rPr>
        <w:t>profil de la demande</w:t>
      </w:r>
      <w:r w:rsidRPr="00B635BD">
        <w:rPr>
          <w:rFonts w:ascii="Verdana" w:hAnsi="Verdana"/>
          <w:sz w:val="24"/>
          <w:szCs w:val="24"/>
        </w:rPr>
        <w:t xml:space="preserve"> évoluera vers des </w:t>
      </w:r>
      <w:r w:rsidRPr="00B635BD">
        <w:rPr>
          <w:rFonts w:ascii="Verdana" w:hAnsi="Verdana"/>
          <w:b/>
          <w:bCs/>
          <w:sz w:val="24"/>
          <w:szCs w:val="24"/>
        </w:rPr>
        <w:t>pointes de puissance plus marquées</w:t>
      </w:r>
      <w:r w:rsidRPr="00B635BD">
        <w:rPr>
          <w:rFonts w:ascii="Verdana" w:hAnsi="Verdana"/>
          <w:sz w:val="24"/>
          <w:szCs w:val="24"/>
        </w:rPr>
        <w:t>, que le GRD devra être en mesure d’absorber et de gérer, en maintenant la stabilité et la sécurité de son réseau.</w:t>
      </w:r>
    </w:p>
    <w:p w14:paraId="1A69A527" w14:textId="77777777" w:rsidR="00B635BD" w:rsidRPr="00B635BD" w:rsidRDefault="00B635BD" w:rsidP="00B635BD">
      <w:pPr>
        <w:spacing w:after="240" w:line="240" w:lineRule="auto"/>
        <w:jc w:val="both"/>
        <w:rPr>
          <w:rFonts w:ascii="Verdana" w:hAnsi="Verdana"/>
          <w:sz w:val="24"/>
          <w:szCs w:val="24"/>
        </w:rPr>
      </w:pPr>
      <w:r w:rsidRPr="00B635BD">
        <w:rPr>
          <w:rFonts w:ascii="Verdana" w:hAnsi="Verdana"/>
          <w:sz w:val="24"/>
          <w:szCs w:val="24"/>
        </w:rPr>
        <w:t xml:space="preserve">L’AIEG est actuellement raccordée au réseau ELIA via </w:t>
      </w:r>
      <w:r w:rsidRPr="00B635BD">
        <w:rPr>
          <w:rFonts w:ascii="Verdana" w:hAnsi="Verdana"/>
          <w:b/>
          <w:bCs/>
          <w:sz w:val="24"/>
          <w:szCs w:val="24"/>
        </w:rPr>
        <w:t>cinq sous-stations principales</w:t>
      </w:r>
      <w:r w:rsidRPr="00B635BD">
        <w:rPr>
          <w:rFonts w:ascii="Verdana" w:hAnsi="Verdana"/>
          <w:sz w:val="24"/>
          <w:szCs w:val="24"/>
        </w:rPr>
        <w:t xml:space="preserve"> : </w:t>
      </w:r>
      <w:r w:rsidRPr="00B635BD">
        <w:rPr>
          <w:rFonts w:ascii="Verdana" w:hAnsi="Verdana"/>
          <w:b/>
          <w:bCs/>
          <w:sz w:val="24"/>
          <w:szCs w:val="24"/>
        </w:rPr>
        <w:t>Bois d’</w:t>
      </w:r>
      <w:proofErr w:type="spellStart"/>
      <w:r w:rsidRPr="00B635BD">
        <w:rPr>
          <w:rFonts w:ascii="Verdana" w:hAnsi="Verdana"/>
          <w:b/>
          <w:bCs/>
          <w:sz w:val="24"/>
          <w:szCs w:val="24"/>
        </w:rPr>
        <w:t>Orjou</w:t>
      </w:r>
      <w:proofErr w:type="spellEnd"/>
      <w:r w:rsidRPr="00B635BD">
        <w:rPr>
          <w:rFonts w:ascii="Verdana" w:hAnsi="Verdana"/>
          <w:b/>
          <w:bCs/>
          <w:sz w:val="24"/>
          <w:szCs w:val="24"/>
        </w:rPr>
        <w:t xml:space="preserve"> (8 feeders), Marche-les-Dames (4 feeders), Couvin (1 feeder), Florée (2 feeders)</w:t>
      </w:r>
      <w:r w:rsidRPr="00B635BD">
        <w:rPr>
          <w:rFonts w:ascii="Verdana" w:hAnsi="Verdana"/>
          <w:sz w:val="24"/>
          <w:szCs w:val="24"/>
        </w:rPr>
        <w:t xml:space="preserve"> et </w:t>
      </w:r>
      <w:proofErr w:type="spellStart"/>
      <w:r w:rsidRPr="00B635BD">
        <w:rPr>
          <w:rFonts w:ascii="Verdana" w:hAnsi="Verdana"/>
          <w:b/>
          <w:bCs/>
          <w:sz w:val="24"/>
          <w:szCs w:val="24"/>
        </w:rPr>
        <w:t>Marquain</w:t>
      </w:r>
      <w:proofErr w:type="spellEnd"/>
      <w:r w:rsidRPr="00B635BD">
        <w:rPr>
          <w:rFonts w:ascii="Verdana" w:hAnsi="Verdana"/>
          <w:b/>
          <w:bCs/>
          <w:sz w:val="24"/>
          <w:szCs w:val="24"/>
        </w:rPr>
        <w:t xml:space="preserve"> (1 feeder)</w:t>
      </w:r>
      <w:r w:rsidRPr="00B635BD">
        <w:rPr>
          <w:rFonts w:ascii="Verdana" w:hAnsi="Verdana"/>
          <w:sz w:val="24"/>
          <w:szCs w:val="24"/>
        </w:rPr>
        <w:t>. L’analyse de la charge par feeder (cf. tableau page 7) indique qu’</w:t>
      </w:r>
      <w:r w:rsidRPr="00B635BD">
        <w:rPr>
          <w:rFonts w:ascii="Verdana" w:hAnsi="Verdana"/>
          <w:b/>
          <w:bCs/>
          <w:sz w:val="24"/>
          <w:szCs w:val="24"/>
        </w:rPr>
        <w:t>aucun de ces départs ne nécessite de renforcement immédiat</w:t>
      </w:r>
      <w:r w:rsidRPr="00B635BD">
        <w:rPr>
          <w:rFonts w:ascii="Verdana" w:hAnsi="Verdana"/>
          <w:sz w:val="24"/>
          <w:szCs w:val="24"/>
        </w:rPr>
        <w:t xml:space="preserve"> sur l’horizon 2025-2030. Toutefois, il convient de souligner que ces infrastructures sont </w:t>
      </w:r>
      <w:r w:rsidRPr="00B635BD">
        <w:rPr>
          <w:rFonts w:ascii="Verdana" w:hAnsi="Verdana"/>
          <w:b/>
          <w:bCs/>
          <w:sz w:val="24"/>
          <w:szCs w:val="24"/>
        </w:rPr>
        <w:t>mutualisées avec d’autres GRD</w:t>
      </w:r>
      <w:r w:rsidRPr="00B635BD">
        <w:rPr>
          <w:rFonts w:ascii="Verdana" w:hAnsi="Verdana"/>
          <w:sz w:val="24"/>
          <w:szCs w:val="24"/>
        </w:rPr>
        <w:t xml:space="preserve">, tels que </w:t>
      </w:r>
      <w:r w:rsidRPr="00B635BD">
        <w:rPr>
          <w:rFonts w:ascii="Verdana" w:hAnsi="Verdana"/>
          <w:b/>
          <w:bCs/>
          <w:sz w:val="24"/>
          <w:szCs w:val="24"/>
        </w:rPr>
        <w:t>RESA et ORES Namur</w:t>
      </w:r>
      <w:r w:rsidRPr="00B635BD">
        <w:rPr>
          <w:rFonts w:ascii="Verdana" w:hAnsi="Verdana"/>
          <w:sz w:val="24"/>
          <w:szCs w:val="24"/>
        </w:rPr>
        <w:t xml:space="preserve">, et que l’évolution des charges sur leurs réseaux respectifs pourrait, à moyen terme, </w:t>
      </w:r>
      <w:r w:rsidRPr="00B635BD">
        <w:rPr>
          <w:rFonts w:ascii="Verdana" w:hAnsi="Verdana"/>
          <w:b/>
          <w:bCs/>
          <w:sz w:val="24"/>
          <w:szCs w:val="24"/>
        </w:rPr>
        <w:t>engendrer un besoin de renforcement ou d’augmentation de capacité</w:t>
      </w:r>
      <w:r w:rsidRPr="00B635BD">
        <w:rPr>
          <w:rFonts w:ascii="Verdana" w:hAnsi="Verdana"/>
          <w:sz w:val="24"/>
          <w:szCs w:val="24"/>
        </w:rPr>
        <w:t xml:space="preserve"> sur les ouvrages partagés.</w:t>
      </w:r>
    </w:p>
    <w:tbl>
      <w:tblPr>
        <w:tblStyle w:val="TableauListe1Clair-Accentuation2"/>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924"/>
        <w:gridCol w:w="924"/>
        <w:gridCol w:w="924"/>
        <w:gridCol w:w="842"/>
        <w:gridCol w:w="858"/>
        <w:gridCol w:w="858"/>
      </w:tblGrid>
      <w:tr w:rsidR="00FC1211" w14:paraId="320E1F5F" w14:textId="189A9D99" w:rsidTr="00FC12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1" w:type="dxa"/>
          </w:tcPr>
          <w:p w14:paraId="54D497CE" w14:textId="77777777" w:rsidR="00FC1211" w:rsidRDefault="00FC1211" w:rsidP="00397C3B">
            <w:pPr>
              <w:jc w:val="both"/>
              <w:rPr>
                <w:rFonts w:ascii="Verdana" w:hAnsi="Verdana"/>
              </w:rPr>
            </w:pPr>
          </w:p>
        </w:tc>
        <w:tc>
          <w:tcPr>
            <w:tcW w:w="924" w:type="dxa"/>
          </w:tcPr>
          <w:p w14:paraId="56EBCB10" w14:textId="49535C75" w:rsidR="00FC1211" w:rsidRDefault="00FC1211" w:rsidP="00397C3B">
            <w:pPr>
              <w:jc w:val="both"/>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2025</w:t>
            </w:r>
          </w:p>
        </w:tc>
        <w:tc>
          <w:tcPr>
            <w:tcW w:w="924" w:type="dxa"/>
          </w:tcPr>
          <w:p w14:paraId="6C2B605A" w14:textId="3A50C928" w:rsidR="00FC1211" w:rsidRDefault="00FC1211" w:rsidP="00397C3B">
            <w:pPr>
              <w:jc w:val="both"/>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2026</w:t>
            </w:r>
          </w:p>
        </w:tc>
        <w:tc>
          <w:tcPr>
            <w:tcW w:w="924" w:type="dxa"/>
          </w:tcPr>
          <w:p w14:paraId="56969A7B" w14:textId="5526E1FE" w:rsidR="00FC1211" w:rsidRDefault="00FC1211" w:rsidP="00397C3B">
            <w:pPr>
              <w:jc w:val="both"/>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2027</w:t>
            </w:r>
          </w:p>
        </w:tc>
        <w:tc>
          <w:tcPr>
            <w:tcW w:w="842" w:type="dxa"/>
          </w:tcPr>
          <w:p w14:paraId="4F68A6E2" w14:textId="7D9471FB" w:rsidR="00FC1211" w:rsidRDefault="00FC1211" w:rsidP="00397C3B">
            <w:pPr>
              <w:jc w:val="both"/>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2028</w:t>
            </w:r>
          </w:p>
        </w:tc>
        <w:tc>
          <w:tcPr>
            <w:tcW w:w="858" w:type="dxa"/>
          </w:tcPr>
          <w:p w14:paraId="50D0024A" w14:textId="574884F3" w:rsidR="00FC1211" w:rsidRDefault="00FC1211" w:rsidP="00397C3B">
            <w:pPr>
              <w:jc w:val="both"/>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2029</w:t>
            </w:r>
          </w:p>
        </w:tc>
        <w:tc>
          <w:tcPr>
            <w:tcW w:w="858" w:type="dxa"/>
          </w:tcPr>
          <w:p w14:paraId="7E9CA4A9" w14:textId="5C84EB03" w:rsidR="00FC1211" w:rsidRDefault="00FC1211" w:rsidP="00397C3B">
            <w:pPr>
              <w:jc w:val="both"/>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2030</w:t>
            </w:r>
          </w:p>
        </w:tc>
      </w:tr>
      <w:tr w:rsidR="00FC1211" w14:paraId="65C611AE" w14:textId="2504770A" w:rsidTr="00FC12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1" w:type="dxa"/>
          </w:tcPr>
          <w:p w14:paraId="62D63E86" w14:textId="47B35B77" w:rsidR="00FC1211" w:rsidRDefault="00FC1211" w:rsidP="00397C3B">
            <w:pPr>
              <w:jc w:val="both"/>
              <w:rPr>
                <w:rFonts w:ascii="Verdana" w:hAnsi="Verdana"/>
              </w:rPr>
            </w:pPr>
            <w:r w:rsidRPr="00386BDB">
              <w:rPr>
                <w:rFonts w:ascii="Verdana" w:hAnsi="Verdana"/>
                <w:sz w:val="20"/>
                <w:szCs w:val="20"/>
              </w:rPr>
              <w:t xml:space="preserve">Taux Annuel moyen d’augmentation </w:t>
            </w:r>
            <w:proofErr w:type="gramStart"/>
            <w:r w:rsidRPr="00386BDB">
              <w:rPr>
                <w:rFonts w:ascii="Verdana" w:hAnsi="Verdana"/>
                <w:sz w:val="20"/>
                <w:szCs w:val="20"/>
              </w:rPr>
              <w:t>( %</w:t>
            </w:r>
            <w:proofErr w:type="gramEnd"/>
            <w:r w:rsidRPr="00386BDB">
              <w:rPr>
                <w:rFonts w:ascii="Verdana" w:hAnsi="Verdana"/>
                <w:sz w:val="20"/>
                <w:szCs w:val="20"/>
              </w:rPr>
              <w:t>)</w:t>
            </w:r>
          </w:p>
        </w:tc>
        <w:tc>
          <w:tcPr>
            <w:tcW w:w="924" w:type="dxa"/>
          </w:tcPr>
          <w:p w14:paraId="5AA5557D" w14:textId="5380E929" w:rsidR="00FC1211" w:rsidRDefault="00FC1211" w:rsidP="00397C3B">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w:t>
            </w:r>
            <w:r w:rsidRPr="00DB7AAC">
              <w:rPr>
                <w:rFonts w:ascii="Verdana" w:hAnsi="Verdana"/>
              </w:rPr>
              <w:t xml:space="preserve"> %</w:t>
            </w:r>
          </w:p>
        </w:tc>
        <w:tc>
          <w:tcPr>
            <w:tcW w:w="924" w:type="dxa"/>
          </w:tcPr>
          <w:p w14:paraId="42E5ADFA" w14:textId="55A3391B" w:rsidR="00FC1211" w:rsidRDefault="00FC1211" w:rsidP="00397C3B">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w:t>
            </w:r>
            <w:r w:rsidRPr="00DB7AAC">
              <w:rPr>
                <w:rFonts w:ascii="Verdana" w:hAnsi="Verdana"/>
              </w:rPr>
              <w:t xml:space="preserve"> %</w:t>
            </w:r>
          </w:p>
        </w:tc>
        <w:tc>
          <w:tcPr>
            <w:tcW w:w="924" w:type="dxa"/>
          </w:tcPr>
          <w:p w14:paraId="2F722BD5" w14:textId="082AB155" w:rsidR="00FC1211" w:rsidRPr="00DB7AAC" w:rsidRDefault="00FC1211" w:rsidP="00397C3B">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w:t>
            </w:r>
            <w:r w:rsidRPr="00DB7AAC">
              <w:rPr>
                <w:rFonts w:ascii="Verdana" w:hAnsi="Verdana"/>
              </w:rPr>
              <w:t xml:space="preserve"> %</w:t>
            </w:r>
          </w:p>
        </w:tc>
        <w:tc>
          <w:tcPr>
            <w:tcW w:w="842" w:type="dxa"/>
          </w:tcPr>
          <w:p w14:paraId="3537FCA0" w14:textId="37411CB2" w:rsidR="00FC1211" w:rsidRPr="00DB7AAC" w:rsidRDefault="00FC1211" w:rsidP="00397C3B">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w:t>
            </w:r>
            <w:r w:rsidRPr="00DB7AAC">
              <w:rPr>
                <w:rFonts w:ascii="Verdana" w:hAnsi="Verdana"/>
              </w:rPr>
              <w:t xml:space="preserve"> %</w:t>
            </w:r>
          </w:p>
        </w:tc>
        <w:tc>
          <w:tcPr>
            <w:tcW w:w="858" w:type="dxa"/>
          </w:tcPr>
          <w:p w14:paraId="6E94875F" w14:textId="49A637C0" w:rsidR="00FC1211" w:rsidRPr="00DB7AAC" w:rsidRDefault="00FC1211" w:rsidP="00397C3B">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w:t>
            </w:r>
            <w:r w:rsidRPr="00DB7AAC">
              <w:rPr>
                <w:rFonts w:ascii="Verdana" w:hAnsi="Verdana"/>
              </w:rPr>
              <w:t xml:space="preserve"> %</w:t>
            </w:r>
          </w:p>
        </w:tc>
        <w:tc>
          <w:tcPr>
            <w:tcW w:w="858" w:type="dxa"/>
          </w:tcPr>
          <w:p w14:paraId="37576F29" w14:textId="050B8569" w:rsidR="00FC1211" w:rsidRDefault="00FC1211" w:rsidP="00397C3B">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w:t>
            </w:r>
          </w:p>
        </w:tc>
      </w:tr>
    </w:tbl>
    <w:p w14:paraId="52479DE9" w14:textId="77777777" w:rsidR="00696BD3" w:rsidRPr="00F7444D" w:rsidRDefault="00696BD3" w:rsidP="00F7444D">
      <w:pPr>
        <w:jc w:val="both"/>
        <w:rPr>
          <w:rFonts w:ascii="Verdana" w:hAnsi="Verdana"/>
        </w:rPr>
      </w:pPr>
    </w:p>
    <w:p w14:paraId="2081D91A" w14:textId="77777777" w:rsidR="00F7444D" w:rsidRDefault="00F7444D" w:rsidP="00140003">
      <w:pPr>
        <w:rPr>
          <w:rFonts w:ascii="Verdana" w:hAnsi="Verdana"/>
          <w:b/>
          <w:sz w:val="20"/>
          <w:szCs w:val="28"/>
        </w:rPr>
      </w:pPr>
    </w:p>
    <w:p w14:paraId="30998C4A" w14:textId="5371A76C" w:rsidR="00082A5A" w:rsidRPr="00696BD3" w:rsidRDefault="00082A5A" w:rsidP="00082A5A">
      <w:pPr>
        <w:ind w:left="2124"/>
        <w:rPr>
          <w:rFonts w:ascii="Verdana" w:hAnsi="Verdana"/>
          <w:i/>
          <w:color w:val="FF0000"/>
          <w:sz w:val="20"/>
          <w:szCs w:val="20"/>
        </w:rPr>
      </w:pPr>
      <w:r w:rsidRPr="0082683B">
        <w:rPr>
          <w:rFonts w:ascii="Verdana" w:hAnsi="Verdana"/>
          <w:i/>
          <w:color w:val="FF0000"/>
          <w:sz w:val="20"/>
          <w:szCs w:val="20"/>
        </w:rPr>
        <w:t xml:space="preserve">b) Puissance Garantie en injection dans le réseau de </w:t>
      </w:r>
      <w:r w:rsidRPr="00696BD3">
        <w:rPr>
          <w:rFonts w:ascii="Verdana" w:hAnsi="Verdana"/>
          <w:i/>
          <w:color w:val="FF0000"/>
          <w:sz w:val="20"/>
          <w:szCs w:val="20"/>
        </w:rPr>
        <w:t xml:space="preserve">transport Local </w:t>
      </w:r>
    </w:p>
    <w:p w14:paraId="0DA7AE74" w14:textId="52DE4372" w:rsidR="00F7444D" w:rsidRDefault="00696BD3" w:rsidP="00F7444D">
      <w:pPr>
        <w:rPr>
          <w:rFonts w:ascii="Verdana" w:hAnsi="Verdana"/>
        </w:rPr>
      </w:pPr>
      <w:r w:rsidRPr="00696BD3">
        <w:rPr>
          <w:rFonts w:ascii="Verdana" w:hAnsi="Verdana"/>
        </w:rPr>
        <w:t>Pas de situation problémat</w:t>
      </w:r>
      <w:r w:rsidR="004C74D0">
        <w:rPr>
          <w:rFonts w:ascii="Verdana" w:hAnsi="Verdana"/>
        </w:rPr>
        <w:t>i</w:t>
      </w:r>
      <w:r w:rsidRPr="00696BD3">
        <w:rPr>
          <w:rFonts w:ascii="Verdana" w:hAnsi="Verdana"/>
        </w:rPr>
        <w:t xml:space="preserve">que en </w:t>
      </w:r>
      <w:proofErr w:type="gramStart"/>
      <w:r w:rsidRPr="00696BD3">
        <w:rPr>
          <w:rFonts w:ascii="Verdana" w:hAnsi="Verdana"/>
        </w:rPr>
        <w:t xml:space="preserve">injection </w:t>
      </w:r>
      <w:r w:rsidR="008217B9">
        <w:rPr>
          <w:rFonts w:ascii="Verdana" w:hAnsi="Verdana"/>
        </w:rPr>
        <w:t>.</w:t>
      </w:r>
      <w:proofErr w:type="gramEnd"/>
    </w:p>
    <w:p w14:paraId="74DC5B20" w14:textId="77777777" w:rsidR="00696BD3" w:rsidRPr="00696BD3" w:rsidRDefault="00696BD3" w:rsidP="00F7444D">
      <w:pPr>
        <w:rPr>
          <w:rFonts w:ascii="Verdana" w:hAnsi="Verdana"/>
        </w:rPr>
      </w:pPr>
    </w:p>
    <w:p w14:paraId="3F68AF26" w14:textId="77777777" w:rsidR="00BE462E" w:rsidRDefault="00BE462E">
      <w:pPr>
        <w:rPr>
          <w:rFonts w:ascii="Verdana" w:hAnsi="Verdana"/>
          <w:b/>
          <w:color w:val="538135" w:themeColor="accent6" w:themeShade="BF"/>
        </w:rPr>
      </w:pPr>
      <w:r>
        <w:br w:type="page"/>
      </w:r>
    </w:p>
    <w:p w14:paraId="44A0C34D" w14:textId="35DB76C8" w:rsidR="00082A5A" w:rsidRDefault="0082683B" w:rsidP="00CD009F">
      <w:pPr>
        <w:pStyle w:val="aieg4"/>
        <w:rPr>
          <w:b w:val="0"/>
        </w:rPr>
      </w:pPr>
      <w:r>
        <w:lastRenderedPageBreak/>
        <w:t xml:space="preserve">Les feeders et autres échanges entre réseaux </w:t>
      </w:r>
    </w:p>
    <w:p w14:paraId="7B9E382E" w14:textId="0489EF2A" w:rsidR="00BF20F8" w:rsidRDefault="005B1EB2" w:rsidP="00373B9F">
      <w:pPr>
        <w:jc w:val="both"/>
        <w:rPr>
          <w:rFonts w:ascii="Verdana" w:hAnsi="Verdana"/>
          <w:sz w:val="24"/>
          <w:szCs w:val="24"/>
        </w:rPr>
      </w:pPr>
      <w:r w:rsidRPr="005B1EB2">
        <w:drawing>
          <wp:inline distT="0" distB="0" distL="0" distR="0" wp14:anchorId="3AA8BE54" wp14:editId="2A7D3125">
            <wp:extent cx="5760720" cy="4362450"/>
            <wp:effectExtent l="0" t="0" r="0" b="0"/>
            <wp:docPr id="882254871" name="Image 1" descr="Une image contenant texte, capture d’écran, nombre,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54871" name="Image 1" descr="Une image contenant texte, capture d’écran, nombre, Parallèle&#10;&#10;Le contenu généré par l’IA peut être incorrect."/>
                    <pic:cNvPicPr/>
                  </pic:nvPicPr>
                  <pic:blipFill>
                    <a:blip r:embed="rId14"/>
                    <a:stretch>
                      <a:fillRect/>
                    </a:stretch>
                  </pic:blipFill>
                  <pic:spPr>
                    <a:xfrm>
                      <a:off x="0" y="0"/>
                      <a:ext cx="5760720" cy="4362450"/>
                    </a:xfrm>
                    <a:prstGeom prst="rect">
                      <a:avLst/>
                    </a:prstGeom>
                  </pic:spPr>
                </pic:pic>
              </a:graphicData>
            </a:graphic>
          </wp:inline>
        </w:drawing>
      </w:r>
    </w:p>
    <w:p w14:paraId="0A9A936F" w14:textId="77777777" w:rsidR="00BF20F8" w:rsidRPr="00BF20F8" w:rsidRDefault="00BF20F8" w:rsidP="00BF20F8">
      <w:pPr>
        <w:jc w:val="both"/>
        <w:rPr>
          <w:rFonts w:ascii="Verdana" w:hAnsi="Verdana"/>
          <w:sz w:val="24"/>
          <w:szCs w:val="24"/>
        </w:rPr>
      </w:pPr>
      <w:r w:rsidRPr="00BF20F8">
        <w:rPr>
          <w:rFonts w:ascii="Verdana" w:hAnsi="Verdana"/>
          <w:sz w:val="24"/>
          <w:szCs w:val="24"/>
        </w:rPr>
        <w:t xml:space="preserve">Conformément aux exigences de la CWaPE, le présent rapport intègre un </w:t>
      </w:r>
      <w:r w:rsidRPr="00BF20F8">
        <w:rPr>
          <w:rFonts w:ascii="Verdana" w:hAnsi="Verdana"/>
          <w:b/>
          <w:bCs/>
          <w:sz w:val="24"/>
          <w:szCs w:val="24"/>
        </w:rPr>
        <w:t>tableau de projection des charges maximales par feeder</w:t>
      </w:r>
      <w:r w:rsidRPr="00BF20F8">
        <w:rPr>
          <w:rFonts w:ascii="Verdana" w:hAnsi="Verdana"/>
          <w:sz w:val="24"/>
          <w:szCs w:val="24"/>
        </w:rPr>
        <w:t xml:space="preserve"> à l’horizon 2030, soit à la fin de la période couverte par le plan d’adaptation 2025-2030. Ce tableau présente, pour chaque feeder MT rattaché à une sous-station ELIA, la </w:t>
      </w:r>
      <w:r w:rsidRPr="00BF20F8">
        <w:rPr>
          <w:rFonts w:ascii="Verdana" w:hAnsi="Verdana"/>
          <w:b/>
          <w:bCs/>
          <w:sz w:val="24"/>
          <w:szCs w:val="24"/>
        </w:rPr>
        <w:t>valeur maximale attendue de charge en kVA</w:t>
      </w:r>
      <w:r w:rsidRPr="00BF20F8">
        <w:rPr>
          <w:rFonts w:ascii="Verdana" w:hAnsi="Verdana"/>
          <w:sz w:val="24"/>
          <w:szCs w:val="24"/>
        </w:rPr>
        <w:t xml:space="preserve">, ainsi que le </w:t>
      </w:r>
      <w:r w:rsidRPr="00BF20F8">
        <w:rPr>
          <w:rFonts w:ascii="Verdana" w:hAnsi="Verdana"/>
          <w:b/>
          <w:bCs/>
          <w:sz w:val="24"/>
          <w:szCs w:val="24"/>
        </w:rPr>
        <w:t>taux d’occupation par rapport à la capacité maximale admissible</w:t>
      </w:r>
      <w:r w:rsidRPr="00BF20F8">
        <w:rPr>
          <w:rFonts w:ascii="Verdana" w:hAnsi="Verdana"/>
          <w:sz w:val="24"/>
          <w:szCs w:val="24"/>
        </w:rPr>
        <w:t xml:space="preserve"> du feeder concerné (tenant compte des limites thermiques et de stabilité, et non uniquement du seuil de protection). Cette approche permet d’identifier les départs à risque de congestion à moyen terme, en lien avec l’évolution projetée de la consommation et les effets induits par l’injection de production décentralisée.</w:t>
      </w:r>
    </w:p>
    <w:p w14:paraId="6716B588" w14:textId="77777777" w:rsidR="00BF20F8" w:rsidRPr="00BF20F8" w:rsidRDefault="00BF20F8" w:rsidP="00BF20F8">
      <w:pPr>
        <w:jc w:val="both"/>
        <w:rPr>
          <w:rFonts w:ascii="Verdana" w:hAnsi="Verdana"/>
          <w:sz w:val="24"/>
          <w:szCs w:val="24"/>
        </w:rPr>
      </w:pPr>
      <w:r w:rsidRPr="00BF20F8">
        <w:rPr>
          <w:rFonts w:ascii="Verdana" w:hAnsi="Verdana"/>
          <w:sz w:val="24"/>
          <w:szCs w:val="24"/>
        </w:rPr>
        <w:t xml:space="preserve">Par ailleurs, les feeders assurant des </w:t>
      </w:r>
      <w:r w:rsidRPr="00BF20F8">
        <w:rPr>
          <w:rFonts w:ascii="Verdana" w:hAnsi="Verdana"/>
          <w:b/>
          <w:bCs/>
          <w:sz w:val="24"/>
          <w:szCs w:val="24"/>
        </w:rPr>
        <w:t>interconnexions avec des réseaux voisins (RESA, ORES Namur)</w:t>
      </w:r>
      <w:r w:rsidRPr="00BF20F8">
        <w:rPr>
          <w:rFonts w:ascii="Verdana" w:hAnsi="Verdana"/>
          <w:sz w:val="24"/>
          <w:szCs w:val="24"/>
        </w:rPr>
        <w:t xml:space="preserve"> sont clairement signalés. Ces liaisons inter-GRD jouent un rôle de </w:t>
      </w:r>
      <w:r w:rsidRPr="00BF20F8">
        <w:rPr>
          <w:rFonts w:ascii="Verdana" w:hAnsi="Verdana"/>
          <w:b/>
          <w:bCs/>
          <w:sz w:val="24"/>
          <w:szCs w:val="24"/>
        </w:rPr>
        <w:t>souplesse et de secours</w:t>
      </w:r>
      <w:r w:rsidRPr="00BF20F8">
        <w:rPr>
          <w:rFonts w:ascii="Verdana" w:hAnsi="Verdana"/>
          <w:sz w:val="24"/>
          <w:szCs w:val="24"/>
        </w:rPr>
        <w:t>, mais peuvent également représenter un facteur de contrainte lorsque les profils de charge entre gestionnaires évoluent de manière dissymétrique. Leur suivi renforcé est donc essentiel.</w:t>
      </w:r>
    </w:p>
    <w:p w14:paraId="07AF2BF7" w14:textId="4C1188B7" w:rsidR="00696BD3" w:rsidRDefault="00BF20F8" w:rsidP="00BF20F8">
      <w:pPr>
        <w:jc w:val="both"/>
        <w:rPr>
          <w:rFonts w:ascii="Verdana" w:hAnsi="Verdana"/>
        </w:rPr>
      </w:pPr>
      <w:r w:rsidRPr="00BF20F8">
        <w:rPr>
          <w:rFonts w:ascii="Verdana" w:hAnsi="Verdana"/>
          <w:sz w:val="24"/>
          <w:szCs w:val="24"/>
        </w:rPr>
        <w:lastRenderedPageBreak/>
        <w:t xml:space="preserve">Enfin, les </w:t>
      </w:r>
      <w:r w:rsidRPr="00BF20F8">
        <w:rPr>
          <w:rFonts w:ascii="Verdana" w:hAnsi="Verdana"/>
          <w:b/>
          <w:bCs/>
          <w:sz w:val="24"/>
          <w:szCs w:val="24"/>
        </w:rPr>
        <w:t>projets éventuels de création de nouveaux feeders</w:t>
      </w:r>
      <w:r w:rsidRPr="00BF20F8">
        <w:rPr>
          <w:rFonts w:ascii="Verdana" w:hAnsi="Verdana"/>
          <w:sz w:val="24"/>
          <w:szCs w:val="24"/>
        </w:rPr>
        <w:t xml:space="preserve"> sont mentionnés en fin de tableau, le cas échéant. Ces projets visent à </w:t>
      </w:r>
      <w:r w:rsidRPr="00BF20F8">
        <w:rPr>
          <w:rFonts w:ascii="Verdana" w:hAnsi="Verdana"/>
          <w:b/>
          <w:bCs/>
          <w:sz w:val="24"/>
          <w:szCs w:val="24"/>
        </w:rPr>
        <w:t>renforcer localement la capacité d’accueil</w:t>
      </w:r>
      <w:r w:rsidRPr="00BF20F8">
        <w:rPr>
          <w:rFonts w:ascii="Verdana" w:hAnsi="Verdana"/>
          <w:sz w:val="24"/>
          <w:szCs w:val="24"/>
        </w:rPr>
        <w:t xml:space="preserve"> du réseau, soit pour </w:t>
      </w:r>
      <w:r w:rsidRPr="00BF20F8">
        <w:rPr>
          <w:rFonts w:ascii="Verdana" w:hAnsi="Verdana"/>
          <w:b/>
          <w:bCs/>
          <w:sz w:val="24"/>
          <w:szCs w:val="24"/>
        </w:rPr>
        <w:t>répondre à une augmentation structurelle de la demande</w:t>
      </w:r>
      <w:r w:rsidRPr="00BF20F8">
        <w:rPr>
          <w:rFonts w:ascii="Verdana" w:hAnsi="Verdana"/>
          <w:sz w:val="24"/>
          <w:szCs w:val="24"/>
        </w:rPr>
        <w:t xml:space="preserve">, soit pour </w:t>
      </w:r>
      <w:r w:rsidRPr="00BF20F8">
        <w:rPr>
          <w:rFonts w:ascii="Verdana" w:hAnsi="Verdana"/>
          <w:b/>
          <w:bCs/>
          <w:sz w:val="24"/>
          <w:szCs w:val="24"/>
        </w:rPr>
        <w:t>assurer un meilleur maillage et la résilience du réseau MT</w:t>
      </w:r>
      <w:r w:rsidRPr="00BF20F8">
        <w:rPr>
          <w:rFonts w:ascii="Verdana" w:hAnsi="Verdana"/>
          <w:sz w:val="24"/>
          <w:szCs w:val="24"/>
        </w:rPr>
        <w:t>, notamment dans les zones en développement ou les parcs d’activités. Les feeders TMT liés à des URD ne sont pas pris en compte, conformément aux directives de la CWaPE.</w:t>
      </w:r>
    </w:p>
    <w:p w14:paraId="6636681D" w14:textId="77777777" w:rsidR="00696BD3" w:rsidRDefault="00696BD3" w:rsidP="00696BD3">
      <w:pPr>
        <w:rPr>
          <w:rFonts w:ascii="Verdana" w:hAnsi="Verdana"/>
        </w:rPr>
      </w:pPr>
      <w:r>
        <w:rPr>
          <w:rFonts w:ascii="Verdana" w:hAnsi="Verdana"/>
        </w:rPr>
        <w:t xml:space="preserve">Feeders d’échanges </w:t>
      </w:r>
    </w:p>
    <w:p w14:paraId="697993AD" w14:textId="77777777" w:rsidR="00C61D99" w:rsidRDefault="00C61D99" w:rsidP="00696BD3">
      <w:pPr>
        <w:spacing w:after="240" w:line="240" w:lineRule="auto"/>
        <w:jc w:val="both"/>
        <w:rPr>
          <w:rFonts w:ascii="Verdana" w:hAnsi="Verdana"/>
        </w:rPr>
      </w:pPr>
      <w:r w:rsidRPr="00C61D99">
        <w:rPr>
          <w:noProof/>
        </w:rPr>
        <w:drawing>
          <wp:inline distT="0" distB="0" distL="0" distR="0" wp14:anchorId="67D6C21F" wp14:editId="5C24196C">
            <wp:extent cx="5760720" cy="1625600"/>
            <wp:effectExtent l="0" t="0" r="0" b="0"/>
            <wp:docPr id="196290677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625600"/>
                    </a:xfrm>
                    <a:prstGeom prst="rect">
                      <a:avLst/>
                    </a:prstGeom>
                    <a:noFill/>
                    <a:ln>
                      <a:noFill/>
                    </a:ln>
                  </pic:spPr>
                </pic:pic>
              </a:graphicData>
            </a:graphic>
          </wp:inline>
        </w:drawing>
      </w:r>
    </w:p>
    <w:p w14:paraId="66843318" w14:textId="77777777" w:rsidR="00696BD3" w:rsidRDefault="00696BD3" w:rsidP="00082A5A">
      <w:pPr>
        <w:ind w:left="1701"/>
        <w:rPr>
          <w:rFonts w:ascii="Verdana" w:hAnsi="Verdana"/>
          <w:b/>
          <w:i/>
          <w:sz w:val="20"/>
          <w:szCs w:val="20"/>
        </w:rPr>
      </w:pPr>
    </w:p>
    <w:p w14:paraId="178C42FB" w14:textId="77777777" w:rsidR="00BF20F8" w:rsidRDefault="00BF20F8">
      <w:pPr>
        <w:rPr>
          <w:rFonts w:ascii="Verdana" w:hAnsi="Verdana"/>
          <w:b/>
          <w:color w:val="538135" w:themeColor="accent6" w:themeShade="BF"/>
        </w:rPr>
      </w:pPr>
      <w:r>
        <w:br w:type="page"/>
      </w:r>
    </w:p>
    <w:p w14:paraId="78A91428" w14:textId="57B6B6B6" w:rsidR="0082683B" w:rsidRDefault="0082683B" w:rsidP="00CD009F">
      <w:pPr>
        <w:pStyle w:val="aieg4"/>
        <w:rPr>
          <w:b w:val="0"/>
        </w:rPr>
      </w:pPr>
      <w:proofErr w:type="gramStart"/>
      <w:r>
        <w:lastRenderedPageBreak/>
        <w:t>les</w:t>
      </w:r>
      <w:proofErr w:type="gramEnd"/>
      <w:r>
        <w:t xml:space="preserve"> cabines et transformateurs de distribution</w:t>
      </w:r>
    </w:p>
    <w:p w14:paraId="638F3D0F" w14:textId="77777777" w:rsidR="009D7774" w:rsidRDefault="009D7774" w:rsidP="009D7774">
      <w:pPr>
        <w:spacing w:after="240" w:line="240" w:lineRule="auto"/>
        <w:jc w:val="both"/>
        <w:rPr>
          <w:rFonts w:ascii="Verdana" w:hAnsi="Verdana"/>
        </w:rPr>
      </w:pPr>
    </w:p>
    <w:p w14:paraId="05758B39" w14:textId="77777777" w:rsidR="009A5606" w:rsidRPr="009A5606" w:rsidRDefault="009A5606" w:rsidP="009A5606">
      <w:pPr>
        <w:spacing w:after="240" w:line="240" w:lineRule="auto"/>
        <w:jc w:val="both"/>
        <w:rPr>
          <w:rFonts w:ascii="Verdana" w:hAnsi="Verdana"/>
          <w:sz w:val="24"/>
          <w:szCs w:val="24"/>
        </w:rPr>
      </w:pPr>
      <w:r w:rsidRPr="009A5606">
        <w:rPr>
          <w:rFonts w:ascii="Verdana" w:hAnsi="Verdana"/>
          <w:sz w:val="24"/>
          <w:szCs w:val="24"/>
        </w:rPr>
        <w:t xml:space="preserve">L’AIEG met en œuvre une méthodologie progressive et ciblée pour l’évaluation des charges sur ses transformateurs de distribution, en vue de détecter d’éventuelles situations de surcharge ou de saturation des équipements, en particulier dans les cabines MT/BT. </w:t>
      </w:r>
      <w:r w:rsidRPr="009A5606">
        <w:rPr>
          <w:rFonts w:ascii="Verdana" w:hAnsi="Verdana"/>
          <w:b/>
          <w:bCs/>
          <w:sz w:val="24"/>
          <w:szCs w:val="24"/>
        </w:rPr>
        <w:t>Toutes les nouvelles cabines sont systématiquement équipées de compteurs télé-relevés</w:t>
      </w:r>
      <w:r w:rsidRPr="009A5606">
        <w:rPr>
          <w:rFonts w:ascii="Verdana" w:hAnsi="Verdana"/>
          <w:sz w:val="24"/>
          <w:szCs w:val="24"/>
        </w:rPr>
        <w:t>, installés en tête de départs BT. Ces dispositifs mesurent en continu les charges sur les transformateurs ainsi que plusieurs paramètres de qualité de l’onde de tension (taux d’harmoniques, fréquence, surtensions, flicker, etc.). Les données issues de ces compteurs, transmises toutes les 15 minutes à la centrale d’acquisition, permettent une surveillance fine de l’état de charge des transformateurs ainsi que de la stabilité du réseau BT. Cette pratique constitue la base de notre méthodologie de suivi en temps réel des infrastructures nouvelles.</w:t>
      </w:r>
    </w:p>
    <w:p w14:paraId="096AB026" w14:textId="77777777" w:rsidR="009A5606" w:rsidRPr="009A5606" w:rsidRDefault="009A5606" w:rsidP="009A5606">
      <w:pPr>
        <w:spacing w:after="240" w:line="240" w:lineRule="auto"/>
        <w:jc w:val="both"/>
        <w:rPr>
          <w:rFonts w:ascii="Verdana" w:hAnsi="Verdana"/>
          <w:sz w:val="24"/>
          <w:szCs w:val="24"/>
        </w:rPr>
      </w:pPr>
      <w:r w:rsidRPr="009A5606">
        <w:rPr>
          <w:rFonts w:ascii="Verdana" w:hAnsi="Verdana"/>
          <w:sz w:val="24"/>
          <w:szCs w:val="24"/>
        </w:rPr>
        <w:t xml:space="preserve">Pour le parc de cabines existantes, l’AIEG engage une </w:t>
      </w:r>
      <w:r w:rsidRPr="009A5606">
        <w:rPr>
          <w:rFonts w:ascii="Verdana" w:hAnsi="Verdana"/>
          <w:b/>
          <w:bCs/>
          <w:sz w:val="24"/>
          <w:szCs w:val="24"/>
        </w:rPr>
        <w:t>démarche d’équipement progressif</w:t>
      </w:r>
      <w:r w:rsidRPr="009A5606">
        <w:rPr>
          <w:rFonts w:ascii="Verdana" w:hAnsi="Verdana"/>
          <w:sz w:val="24"/>
          <w:szCs w:val="24"/>
        </w:rPr>
        <w:t xml:space="preserve"> en compteurs télé-relevés, dès lors que la configuration du tableau BT permet l’ajout de tores de mesure. À défaut, une surveillance ponctuelle est effectuée sur site, à l’aide d’</w:t>
      </w:r>
      <w:r w:rsidRPr="009A5606">
        <w:rPr>
          <w:rFonts w:ascii="Verdana" w:hAnsi="Verdana"/>
          <w:b/>
          <w:bCs/>
          <w:sz w:val="24"/>
          <w:szCs w:val="24"/>
        </w:rPr>
        <w:t>ampèremètres analogiques</w:t>
      </w:r>
      <w:r w:rsidRPr="009A5606">
        <w:rPr>
          <w:rFonts w:ascii="Verdana" w:hAnsi="Verdana"/>
          <w:sz w:val="24"/>
          <w:szCs w:val="24"/>
        </w:rPr>
        <w:t xml:space="preserve"> et de </w:t>
      </w:r>
      <w:r w:rsidRPr="009A5606">
        <w:rPr>
          <w:rFonts w:ascii="Verdana" w:hAnsi="Verdana"/>
          <w:b/>
          <w:bCs/>
          <w:sz w:val="24"/>
          <w:szCs w:val="24"/>
        </w:rPr>
        <w:t>campagnes de mesure ciblées</w:t>
      </w:r>
      <w:r w:rsidRPr="009A5606">
        <w:rPr>
          <w:rFonts w:ascii="Verdana" w:hAnsi="Verdana"/>
          <w:sz w:val="24"/>
          <w:szCs w:val="24"/>
        </w:rPr>
        <w:t xml:space="preserve"> pendant les périodes de consommation maximale (hiver, pics estivaux). Ces données sont croisées avec les historiques de maintenance et les retours d’expérience du personnel de terrain pour identifier les points sensibles.</w:t>
      </w:r>
    </w:p>
    <w:p w14:paraId="5CF45C3F" w14:textId="77777777" w:rsidR="009A5606" w:rsidRPr="009A5606" w:rsidRDefault="009A5606" w:rsidP="009A5606">
      <w:pPr>
        <w:spacing w:after="240" w:line="240" w:lineRule="auto"/>
        <w:jc w:val="both"/>
        <w:rPr>
          <w:rFonts w:ascii="Verdana" w:hAnsi="Verdana"/>
          <w:sz w:val="24"/>
          <w:szCs w:val="24"/>
        </w:rPr>
      </w:pPr>
      <w:r w:rsidRPr="009A5606">
        <w:rPr>
          <w:rFonts w:ascii="Verdana" w:hAnsi="Verdana"/>
          <w:sz w:val="24"/>
          <w:szCs w:val="24"/>
        </w:rPr>
        <w:t xml:space="preserve">En parallèle, une attention particulière est portée à la </w:t>
      </w:r>
      <w:r w:rsidRPr="009A5606">
        <w:rPr>
          <w:rFonts w:ascii="Verdana" w:hAnsi="Verdana"/>
          <w:b/>
          <w:bCs/>
          <w:sz w:val="24"/>
          <w:szCs w:val="24"/>
        </w:rPr>
        <w:t>sécurisation des protections en HTA</w:t>
      </w:r>
      <w:r w:rsidRPr="009A5606">
        <w:rPr>
          <w:rFonts w:ascii="Verdana" w:hAnsi="Verdana"/>
          <w:sz w:val="24"/>
          <w:szCs w:val="24"/>
        </w:rPr>
        <w:t xml:space="preserve">. Les transformateurs ≤ 630 kVA sont protégés par des interrupteurs-fusibles dimensionnés en fonction des capacités nominales, tandis que ceux de puissance &gt; 630 kVA sont systématiquement protégés par des </w:t>
      </w:r>
      <w:r w:rsidRPr="009A5606">
        <w:rPr>
          <w:rFonts w:ascii="Verdana" w:hAnsi="Verdana"/>
          <w:b/>
          <w:bCs/>
          <w:sz w:val="24"/>
          <w:szCs w:val="24"/>
        </w:rPr>
        <w:t>cellules disjoncteurs télécontrôlés</w:t>
      </w:r>
      <w:r w:rsidRPr="009A5606">
        <w:rPr>
          <w:rFonts w:ascii="Verdana" w:hAnsi="Verdana"/>
          <w:sz w:val="24"/>
          <w:szCs w:val="24"/>
        </w:rPr>
        <w:t>, assurant une réactivité rapide en cas de défaut. Des cartouches de rechange sont stockées localement dans chaque cabine et font l’objet d’un programme d’inspection régulier.</w:t>
      </w:r>
    </w:p>
    <w:p w14:paraId="2583D0CD" w14:textId="77777777" w:rsidR="009A5606" w:rsidRPr="009A5606" w:rsidRDefault="009A5606" w:rsidP="009A5606">
      <w:pPr>
        <w:spacing w:after="240" w:line="240" w:lineRule="auto"/>
        <w:jc w:val="both"/>
        <w:rPr>
          <w:rFonts w:ascii="Verdana" w:hAnsi="Verdana"/>
          <w:sz w:val="24"/>
          <w:szCs w:val="24"/>
        </w:rPr>
      </w:pPr>
      <w:r w:rsidRPr="009A5606">
        <w:rPr>
          <w:rFonts w:ascii="Verdana" w:hAnsi="Verdana"/>
          <w:sz w:val="24"/>
          <w:szCs w:val="24"/>
        </w:rPr>
        <w:t xml:space="preserve">À ce jour, </w:t>
      </w:r>
      <w:r w:rsidRPr="009A5606">
        <w:rPr>
          <w:rFonts w:ascii="Verdana" w:hAnsi="Verdana"/>
          <w:b/>
          <w:bCs/>
          <w:sz w:val="24"/>
          <w:szCs w:val="24"/>
        </w:rPr>
        <w:t>aucune surcharge de transformateur n’a été constatée</w:t>
      </w:r>
      <w:r w:rsidRPr="009A5606">
        <w:rPr>
          <w:rFonts w:ascii="Verdana" w:hAnsi="Verdana"/>
          <w:sz w:val="24"/>
          <w:szCs w:val="24"/>
        </w:rPr>
        <w:t xml:space="preserve"> sur le réseau AIEG. Néanmoins, un suivi est maintenu sur un petit nombre de cabines identifiées comme sensibles en raison de la croissance locale de la demande (ex. : extensions de lotissements, raccordements industriels, installations photovoltaïques massives en aval). Pour ces points, les actions envisagées incluent </w:t>
      </w:r>
      <w:r w:rsidRPr="009A5606">
        <w:rPr>
          <w:rFonts w:ascii="Verdana" w:hAnsi="Verdana"/>
          <w:b/>
          <w:bCs/>
          <w:sz w:val="24"/>
          <w:szCs w:val="24"/>
        </w:rPr>
        <w:t>le remplacement des transformateurs par des modèles de puissance supérieure, la reconfiguration des réseaux BT ou MT, voire la création de nouvelles cabines de distribution.</w:t>
      </w:r>
      <w:r w:rsidRPr="009A5606">
        <w:rPr>
          <w:rFonts w:ascii="Verdana" w:hAnsi="Verdana"/>
          <w:sz w:val="24"/>
          <w:szCs w:val="24"/>
        </w:rPr>
        <w:t xml:space="preserve"> Ces mesures sont intégrées dans notre plan d’adaptation 2025-2030, selon les </w:t>
      </w:r>
      <w:r w:rsidRPr="009A5606">
        <w:rPr>
          <w:rFonts w:ascii="Verdana" w:hAnsi="Verdana"/>
          <w:sz w:val="24"/>
          <w:szCs w:val="24"/>
        </w:rPr>
        <w:lastRenderedPageBreak/>
        <w:t>priorités établies par les données de terrain et les analyses prospectives de charge.</w:t>
      </w:r>
    </w:p>
    <w:p w14:paraId="742EA800" w14:textId="77777777" w:rsidR="002E32F1" w:rsidRDefault="002E32F1" w:rsidP="009D7774">
      <w:pPr>
        <w:spacing w:after="240" w:line="240" w:lineRule="auto"/>
        <w:jc w:val="both"/>
        <w:rPr>
          <w:rFonts w:ascii="Verdana" w:hAnsi="Verdana"/>
        </w:rPr>
      </w:pPr>
    </w:p>
    <w:p w14:paraId="391F7AF2" w14:textId="61133D94" w:rsidR="00CD009F" w:rsidRPr="0048192F" w:rsidRDefault="0048192F" w:rsidP="0048192F">
      <w:pPr>
        <w:pStyle w:val="aieg4"/>
      </w:pPr>
      <w:proofErr w:type="spellStart"/>
      <w:r w:rsidRPr="0048192F">
        <w:t>Identificaton</w:t>
      </w:r>
      <w:proofErr w:type="spellEnd"/>
      <w:r w:rsidRPr="0048192F">
        <w:t xml:space="preserve"> des projets dans le tableau </w:t>
      </w:r>
    </w:p>
    <w:p w14:paraId="4FF3054F" w14:textId="4CF152D4" w:rsidR="00CD009F" w:rsidRPr="00F708E2" w:rsidRDefault="00316E18" w:rsidP="00F708E2">
      <w:pPr>
        <w:rPr>
          <w:rFonts w:ascii="Verdana" w:hAnsi="Verdana"/>
          <w:b/>
          <w:sz w:val="20"/>
          <w:szCs w:val="28"/>
          <w:highlight w:val="yellow"/>
        </w:rPr>
      </w:pPr>
      <w:r w:rsidRPr="00F708E2">
        <w:rPr>
          <w:rFonts w:ascii="Verdana" w:hAnsi="Verdana"/>
          <w:b/>
          <w:sz w:val="20"/>
          <w:szCs w:val="28"/>
          <w:highlight w:val="yellow"/>
        </w:rPr>
        <w:t xml:space="preserve">Voir fichier </w:t>
      </w:r>
      <w:proofErr w:type="spellStart"/>
      <w:r w:rsidRPr="00F708E2">
        <w:rPr>
          <w:rFonts w:ascii="Verdana" w:hAnsi="Verdana"/>
          <w:b/>
          <w:sz w:val="20"/>
          <w:szCs w:val="28"/>
          <w:highlight w:val="yellow"/>
        </w:rPr>
        <w:t>excel</w:t>
      </w:r>
      <w:proofErr w:type="spellEnd"/>
    </w:p>
    <w:p w14:paraId="1EA4B544" w14:textId="77777777" w:rsidR="00A83375" w:rsidRDefault="00A83375" w:rsidP="009D7774">
      <w:pPr>
        <w:spacing w:after="240" w:line="240" w:lineRule="auto"/>
        <w:jc w:val="both"/>
        <w:rPr>
          <w:rFonts w:ascii="Verdana" w:hAnsi="Verdana"/>
        </w:rPr>
      </w:pPr>
    </w:p>
    <w:p w14:paraId="43EF0255" w14:textId="3C2A57D4" w:rsidR="0082683B" w:rsidRDefault="0082683B" w:rsidP="0048192F">
      <w:pPr>
        <w:pStyle w:val="AIEG3"/>
      </w:pPr>
      <w:proofErr w:type="gramStart"/>
      <w:r>
        <w:t>les</w:t>
      </w:r>
      <w:proofErr w:type="gramEnd"/>
      <w:r>
        <w:t xml:space="preserve"> nouveaux producteurs et consommateurs </w:t>
      </w:r>
    </w:p>
    <w:p w14:paraId="433948DA" w14:textId="3512E446" w:rsidR="0082683B" w:rsidRDefault="0082683B" w:rsidP="0048192F">
      <w:pPr>
        <w:pStyle w:val="aieg4"/>
        <w:rPr>
          <w:b w:val="0"/>
        </w:rPr>
      </w:pPr>
      <w:proofErr w:type="gramStart"/>
      <w:r w:rsidRPr="0082683B">
        <w:t>les</w:t>
      </w:r>
      <w:proofErr w:type="gramEnd"/>
      <w:r w:rsidRPr="0082683B">
        <w:t xml:space="preserve"> nouveaux producteurs prioritaires</w:t>
      </w:r>
    </w:p>
    <w:p w14:paraId="07ACA219" w14:textId="610368A1" w:rsidR="00976A53" w:rsidRDefault="00976A53" w:rsidP="00976A53">
      <w:pPr>
        <w:rPr>
          <w:rFonts w:ascii="Verdana" w:hAnsi="Verdana"/>
          <w:b/>
          <w:sz w:val="20"/>
          <w:szCs w:val="28"/>
        </w:rPr>
      </w:pPr>
      <w:r w:rsidRPr="00140003">
        <w:rPr>
          <w:rFonts w:ascii="Verdana" w:hAnsi="Verdana"/>
          <w:b/>
          <w:sz w:val="20"/>
          <w:szCs w:val="28"/>
          <w:highlight w:val="yellow"/>
        </w:rPr>
        <w:t>Voir fichier Excel</w:t>
      </w:r>
    </w:p>
    <w:p w14:paraId="04D356D4" w14:textId="14AC1AE9" w:rsidR="0082683B" w:rsidRDefault="0082683B" w:rsidP="0048192F">
      <w:pPr>
        <w:pStyle w:val="aieg4"/>
        <w:rPr>
          <w:b w:val="0"/>
        </w:rPr>
      </w:pPr>
      <w:proofErr w:type="gramStart"/>
      <w:r>
        <w:t>les</w:t>
      </w:r>
      <w:proofErr w:type="gramEnd"/>
      <w:r>
        <w:t xml:space="preserve"> nouveaux gros clients industriels</w:t>
      </w:r>
    </w:p>
    <w:p w14:paraId="3AB6A9E7" w14:textId="5AD1CB9E" w:rsidR="00976A53" w:rsidRDefault="00976A53" w:rsidP="00976A53">
      <w:pPr>
        <w:rPr>
          <w:rFonts w:ascii="Verdana" w:hAnsi="Verdana"/>
          <w:b/>
          <w:sz w:val="20"/>
          <w:szCs w:val="28"/>
        </w:rPr>
      </w:pPr>
      <w:r w:rsidRPr="00140003">
        <w:rPr>
          <w:rFonts w:ascii="Verdana" w:hAnsi="Verdana"/>
          <w:b/>
          <w:sz w:val="20"/>
          <w:szCs w:val="28"/>
          <w:highlight w:val="yellow"/>
        </w:rPr>
        <w:t>Voir fichier Excel</w:t>
      </w:r>
    </w:p>
    <w:p w14:paraId="0CA0E72D" w14:textId="10CAC2AA" w:rsidR="0082683B" w:rsidRDefault="009C0E95" w:rsidP="0048192F">
      <w:pPr>
        <w:pStyle w:val="aieg4"/>
        <w:rPr>
          <w:b w:val="0"/>
        </w:rPr>
      </w:pPr>
      <w:proofErr w:type="gramStart"/>
      <w:r>
        <w:t>les</w:t>
      </w:r>
      <w:proofErr w:type="gramEnd"/>
      <w:r>
        <w:t xml:space="preserve"> nouveaux zonings industriels ou lotissements résidentiels importants </w:t>
      </w:r>
    </w:p>
    <w:p w14:paraId="13D15E2D" w14:textId="3D7D5227" w:rsidR="00976A53" w:rsidRPr="00976A53" w:rsidRDefault="00976A53" w:rsidP="00976A53">
      <w:pPr>
        <w:rPr>
          <w:rFonts w:ascii="Verdana" w:hAnsi="Verdana"/>
          <w:b/>
          <w:sz w:val="20"/>
          <w:szCs w:val="28"/>
        </w:rPr>
      </w:pPr>
      <w:r w:rsidRPr="00140003">
        <w:rPr>
          <w:rFonts w:ascii="Verdana" w:hAnsi="Verdana"/>
          <w:b/>
          <w:sz w:val="20"/>
          <w:szCs w:val="28"/>
          <w:highlight w:val="yellow"/>
        </w:rPr>
        <w:t>Voir fichier Excel</w:t>
      </w:r>
    </w:p>
    <w:p w14:paraId="344C2025" w14:textId="77777777" w:rsidR="00A83375" w:rsidRDefault="00A83375" w:rsidP="0082683B">
      <w:pPr>
        <w:ind w:left="1701"/>
        <w:rPr>
          <w:rFonts w:ascii="Verdana" w:hAnsi="Verdana"/>
          <w:b/>
          <w:i/>
          <w:sz w:val="20"/>
          <w:szCs w:val="20"/>
        </w:rPr>
      </w:pPr>
      <w:r>
        <w:rPr>
          <w:rFonts w:ascii="Verdana" w:hAnsi="Verdana"/>
          <w:b/>
          <w:i/>
          <w:sz w:val="20"/>
          <w:szCs w:val="20"/>
        </w:rPr>
        <w:br w:type="page"/>
      </w:r>
    </w:p>
    <w:p w14:paraId="621699FF" w14:textId="03181FAB" w:rsidR="009C0E95" w:rsidRPr="00B71115" w:rsidRDefault="009C0E95" w:rsidP="00B71115">
      <w:pPr>
        <w:pStyle w:val="aieg4"/>
        <w:rPr>
          <w:b w:val="0"/>
          <w:strike/>
        </w:rPr>
      </w:pPr>
      <w:proofErr w:type="gramStart"/>
      <w:r w:rsidRPr="00B71115">
        <w:rPr>
          <w:strike/>
        </w:rPr>
        <w:lastRenderedPageBreak/>
        <w:t>les</w:t>
      </w:r>
      <w:proofErr w:type="gramEnd"/>
      <w:r w:rsidRPr="00B71115">
        <w:rPr>
          <w:strike/>
        </w:rPr>
        <w:t xml:space="preserve"> petits producteurs de max 10 KVA</w:t>
      </w:r>
    </w:p>
    <w:p w14:paraId="262EC6C9" w14:textId="7EB37277" w:rsidR="00B71115" w:rsidRPr="0028299E" w:rsidRDefault="005F3E2E" w:rsidP="00B71115">
      <w:pPr>
        <w:pStyle w:val="aieg4"/>
        <w:rPr>
          <w:strike/>
        </w:rPr>
      </w:pPr>
      <w:r w:rsidRPr="0028299E">
        <w:rPr>
          <w:strike/>
        </w:rPr>
        <w:t>SUPP</w:t>
      </w:r>
    </w:p>
    <w:p w14:paraId="0EAB13C7" w14:textId="55F40132" w:rsidR="005F3E2E" w:rsidRPr="0028299E" w:rsidRDefault="005F3E2E" w:rsidP="00B71115">
      <w:pPr>
        <w:pStyle w:val="aieg4"/>
        <w:rPr>
          <w:strike/>
        </w:rPr>
      </w:pPr>
      <w:r w:rsidRPr="0028299E">
        <w:rPr>
          <w:strike/>
        </w:rPr>
        <w:t xml:space="preserve">Les nouveaux clients résidentiels </w:t>
      </w:r>
    </w:p>
    <w:p w14:paraId="3C2D79F1" w14:textId="5D5FADC1" w:rsidR="009C0E95" w:rsidRDefault="009C0E95" w:rsidP="00FF0737">
      <w:pPr>
        <w:pStyle w:val="AIEG3"/>
      </w:pPr>
      <w:r w:rsidRPr="009C0E95">
        <w:t>Les problèmes de congestion</w:t>
      </w:r>
    </w:p>
    <w:p w14:paraId="301E105D" w14:textId="48912E17" w:rsidR="00020887" w:rsidRPr="000B01EA" w:rsidRDefault="00020887" w:rsidP="00FF0737">
      <w:pPr>
        <w:jc w:val="both"/>
        <w:rPr>
          <w:rFonts w:ascii="Verdana" w:hAnsi="Verdana"/>
          <w:sz w:val="24"/>
          <w:szCs w:val="24"/>
        </w:rPr>
      </w:pPr>
      <w:r w:rsidRPr="000B01EA">
        <w:rPr>
          <w:rFonts w:ascii="Verdana" w:hAnsi="Verdana"/>
          <w:sz w:val="24"/>
          <w:szCs w:val="24"/>
        </w:rPr>
        <w:t xml:space="preserve">L’AIEG n’est pas encore dotée d’un logiciel de simulation systématique capable de modéliser l’ensemble des phénomènes de congestion potentiels sur son réseau, mais un projet d’intégration d’un outil de type </w:t>
      </w:r>
      <w:proofErr w:type="spellStart"/>
      <w:r w:rsidRPr="000B01EA">
        <w:rPr>
          <w:rFonts w:ascii="Verdana" w:hAnsi="Verdana"/>
          <w:b/>
          <w:bCs/>
          <w:sz w:val="24"/>
          <w:szCs w:val="24"/>
        </w:rPr>
        <w:t>PowerFactory</w:t>
      </w:r>
      <w:proofErr w:type="spellEnd"/>
      <w:r w:rsidRPr="000B01EA">
        <w:rPr>
          <w:rFonts w:ascii="Verdana" w:hAnsi="Verdana"/>
          <w:sz w:val="24"/>
          <w:szCs w:val="24"/>
        </w:rPr>
        <w:t xml:space="preserve"> est en cours d’étude pour les prochaines années. En l’état actuel, la détection des congestions repose principalement sur deux leviers : les </w:t>
      </w:r>
      <w:r w:rsidRPr="000B01EA">
        <w:rPr>
          <w:rFonts w:ascii="Verdana" w:hAnsi="Verdana"/>
          <w:b/>
          <w:bCs/>
          <w:sz w:val="24"/>
          <w:szCs w:val="24"/>
        </w:rPr>
        <w:t>remontées terrain (plaintes clients, relevés des techniciens)</w:t>
      </w:r>
      <w:r w:rsidRPr="000B01EA">
        <w:rPr>
          <w:rFonts w:ascii="Verdana" w:hAnsi="Verdana"/>
          <w:sz w:val="24"/>
          <w:szCs w:val="24"/>
        </w:rPr>
        <w:t xml:space="preserve"> et </w:t>
      </w:r>
      <w:r w:rsidRPr="000B01EA">
        <w:rPr>
          <w:rFonts w:ascii="Verdana" w:hAnsi="Verdana"/>
          <w:b/>
          <w:bCs/>
          <w:sz w:val="24"/>
          <w:szCs w:val="24"/>
        </w:rPr>
        <w:t xml:space="preserve">l’analyse des données </w:t>
      </w:r>
      <w:proofErr w:type="spellStart"/>
      <w:r w:rsidRPr="000B01EA">
        <w:rPr>
          <w:rFonts w:ascii="Verdana" w:hAnsi="Verdana"/>
          <w:b/>
          <w:bCs/>
          <w:sz w:val="24"/>
          <w:szCs w:val="24"/>
        </w:rPr>
        <w:t>télérelevées</w:t>
      </w:r>
      <w:proofErr w:type="spellEnd"/>
      <w:r w:rsidRPr="000B01EA">
        <w:rPr>
          <w:rFonts w:ascii="Verdana" w:hAnsi="Verdana"/>
          <w:sz w:val="24"/>
          <w:szCs w:val="24"/>
        </w:rPr>
        <w:t xml:space="preserve"> issues des cabines MT/BT les plus critiques. Ces données permettent d’identifier des situations de surcharge sur les transformateurs ou de déséquilibres localisés dans certaines zones, notamment dans les parties </w:t>
      </w:r>
      <w:r w:rsidRPr="000B01EA">
        <w:rPr>
          <w:rFonts w:ascii="Verdana" w:hAnsi="Verdana"/>
          <w:b/>
          <w:bCs/>
          <w:sz w:val="24"/>
          <w:szCs w:val="24"/>
        </w:rPr>
        <w:t>non maillées du réseau</w:t>
      </w:r>
      <w:r w:rsidRPr="000B01EA">
        <w:rPr>
          <w:rFonts w:ascii="Verdana" w:hAnsi="Verdana"/>
          <w:sz w:val="24"/>
          <w:szCs w:val="24"/>
        </w:rPr>
        <w:t xml:space="preserve">, plus vulnérables aux pics de consommation ou à l’injection de production décentralisée (PV résidentiel). En zone </w:t>
      </w:r>
      <w:r w:rsidRPr="000B01EA">
        <w:rPr>
          <w:rFonts w:ascii="Verdana" w:hAnsi="Verdana"/>
          <w:b/>
          <w:bCs/>
          <w:sz w:val="24"/>
          <w:szCs w:val="24"/>
        </w:rPr>
        <w:t>maillée</w:t>
      </w:r>
      <w:r w:rsidRPr="000B01EA">
        <w:rPr>
          <w:rFonts w:ascii="Verdana" w:hAnsi="Verdana"/>
          <w:sz w:val="24"/>
          <w:szCs w:val="24"/>
        </w:rPr>
        <w:t>, les effets sont généralement atténués grâce à la redondance topologique, bien que des congestions aient pu être constatées à la suite de déséquilibres dus à des délestages ou des réorganisations du réseau lors de chantiers lourds. Parmi les cas concrets traités en 2024, citons l’</w:t>
      </w:r>
      <w:r w:rsidRPr="000B01EA">
        <w:rPr>
          <w:rFonts w:ascii="Verdana" w:hAnsi="Verdana"/>
          <w:b/>
          <w:bCs/>
          <w:sz w:val="24"/>
          <w:szCs w:val="24"/>
        </w:rPr>
        <w:t>augmentation des puissances injectées par les onduleurs solaires dans plusieurs villages ruraux</w:t>
      </w:r>
      <w:r w:rsidRPr="000B01EA">
        <w:rPr>
          <w:rFonts w:ascii="Verdana" w:hAnsi="Verdana"/>
          <w:sz w:val="24"/>
          <w:szCs w:val="24"/>
        </w:rPr>
        <w:t xml:space="preserve">, causant des hausses de tension en extrémité de ligne. Des </w:t>
      </w:r>
      <w:r w:rsidRPr="000B01EA">
        <w:rPr>
          <w:rFonts w:ascii="Verdana" w:hAnsi="Verdana"/>
          <w:b/>
          <w:bCs/>
          <w:sz w:val="24"/>
          <w:szCs w:val="24"/>
        </w:rPr>
        <w:t>renforcements ponctuels de sections BT</w:t>
      </w:r>
      <w:r w:rsidRPr="000B01EA">
        <w:rPr>
          <w:rFonts w:ascii="Verdana" w:hAnsi="Verdana"/>
          <w:sz w:val="24"/>
          <w:szCs w:val="24"/>
        </w:rPr>
        <w:t xml:space="preserve">, le </w:t>
      </w:r>
      <w:r w:rsidRPr="000B01EA">
        <w:rPr>
          <w:rFonts w:ascii="Verdana" w:hAnsi="Verdana"/>
          <w:b/>
          <w:bCs/>
          <w:sz w:val="24"/>
          <w:szCs w:val="24"/>
        </w:rPr>
        <w:t>déplacement de charges entre transformateurs</w:t>
      </w:r>
      <w:r w:rsidRPr="000B01EA">
        <w:rPr>
          <w:rFonts w:ascii="Verdana" w:hAnsi="Verdana"/>
          <w:sz w:val="24"/>
          <w:szCs w:val="24"/>
        </w:rPr>
        <w:t xml:space="preserve">, et dans certains cas le </w:t>
      </w:r>
      <w:r w:rsidRPr="000B01EA">
        <w:rPr>
          <w:rFonts w:ascii="Verdana" w:hAnsi="Verdana"/>
          <w:b/>
          <w:bCs/>
          <w:sz w:val="24"/>
          <w:szCs w:val="24"/>
        </w:rPr>
        <w:t>remplacement des câbles par des sections supérieures</w:t>
      </w:r>
      <w:r w:rsidRPr="000B01EA">
        <w:rPr>
          <w:rFonts w:ascii="Verdana" w:hAnsi="Verdana"/>
          <w:sz w:val="24"/>
          <w:szCs w:val="24"/>
        </w:rPr>
        <w:t xml:space="preserve">, ont été mis en œuvre à titre curatif. L’AIEG prévoit également le </w:t>
      </w:r>
      <w:r w:rsidRPr="000B01EA">
        <w:rPr>
          <w:rFonts w:ascii="Verdana" w:hAnsi="Verdana"/>
          <w:b/>
          <w:bCs/>
          <w:sz w:val="24"/>
          <w:szCs w:val="24"/>
        </w:rPr>
        <w:t>déploiement progressif de capteurs supplémentaires</w:t>
      </w:r>
      <w:r w:rsidRPr="000B01EA">
        <w:rPr>
          <w:rFonts w:ascii="Verdana" w:hAnsi="Verdana"/>
          <w:sz w:val="24"/>
          <w:szCs w:val="24"/>
        </w:rPr>
        <w:t xml:space="preserve"> dans les zones les plus sensibles, en particulier là où la densité de production photovoltaïque dépasse 80 % des points de raccordement BT. Ces mesures s’inscrivent dans une logique de surveillance continue et d’adaptation progressive, en attendant la mise en place d’outils plus automatisés.</w:t>
      </w:r>
    </w:p>
    <w:p w14:paraId="44E3D4E3" w14:textId="5D7B5AD6" w:rsidR="00FF0737" w:rsidRDefault="00FF0737" w:rsidP="00FF0737">
      <w:pPr>
        <w:jc w:val="both"/>
        <w:rPr>
          <w:rFonts w:ascii="Verdana" w:hAnsi="Verdana"/>
        </w:rPr>
      </w:pPr>
    </w:p>
    <w:p w14:paraId="65C4962E" w14:textId="45681469" w:rsidR="009C0E95" w:rsidRPr="006F36AC" w:rsidRDefault="009C0E95" w:rsidP="00FF0737">
      <w:pPr>
        <w:pStyle w:val="AIEG3"/>
      </w:pPr>
      <w:proofErr w:type="gramStart"/>
      <w:r w:rsidRPr="006F36AC">
        <w:t>les</w:t>
      </w:r>
      <w:proofErr w:type="gramEnd"/>
      <w:r w:rsidRPr="006F36AC">
        <w:t xml:space="preserve"> problèmes de chute de tension ou de surtensions</w:t>
      </w:r>
    </w:p>
    <w:p w14:paraId="16693019" w14:textId="77777777" w:rsidR="000B01EA" w:rsidRDefault="000B01EA" w:rsidP="00230F35">
      <w:pPr>
        <w:jc w:val="both"/>
        <w:rPr>
          <w:rFonts w:ascii="Verdana" w:hAnsi="Verdana"/>
        </w:rPr>
      </w:pPr>
    </w:p>
    <w:p w14:paraId="74DB9DE6" w14:textId="17A5D6F2" w:rsidR="00590093" w:rsidRDefault="00476187" w:rsidP="000B01EA">
      <w:pPr>
        <w:jc w:val="both"/>
        <w:rPr>
          <w:rFonts w:ascii="Verdana" w:hAnsi="Verdana"/>
          <w:b/>
          <w:color w:val="FF0000"/>
        </w:rPr>
      </w:pPr>
      <w:r w:rsidRPr="00476187">
        <w:rPr>
          <w:rFonts w:ascii="Verdana" w:hAnsi="Verdana"/>
        </w:rPr>
        <w:t xml:space="preserve">L’AIEG applique les critères de la norme </w:t>
      </w:r>
      <w:r w:rsidRPr="00476187">
        <w:rPr>
          <w:rFonts w:ascii="Verdana" w:hAnsi="Verdana"/>
          <w:b/>
          <w:bCs/>
        </w:rPr>
        <w:t>EN 50160</w:t>
      </w:r>
      <w:r w:rsidRPr="00476187">
        <w:rPr>
          <w:rFonts w:ascii="Verdana" w:hAnsi="Verdana"/>
        </w:rPr>
        <w:t xml:space="preserve"> pour l’évaluation de la qualité de tension sur son réseau. Cette norme définit notamment les tolérances admissibles en matière de </w:t>
      </w:r>
      <w:r w:rsidRPr="00476187">
        <w:rPr>
          <w:rFonts w:ascii="Verdana" w:hAnsi="Verdana"/>
          <w:b/>
          <w:bCs/>
        </w:rPr>
        <w:t>tension efficace, flicker, déséquilibres, harmoniques, surtensions temporaires ou transitoires</w:t>
      </w:r>
      <w:r w:rsidRPr="00476187">
        <w:rPr>
          <w:rFonts w:ascii="Verdana" w:hAnsi="Verdana"/>
        </w:rPr>
        <w:t xml:space="preserve">. Ces critères sont systématiquement pris en compte lors de l’analyse des plaintes clients et des relevés issus des compteurs télé-relevés installés dans les cabines MT/BT. Ces dernières années, les </w:t>
      </w:r>
      <w:r w:rsidRPr="00476187">
        <w:rPr>
          <w:rFonts w:ascii="Verdana" w:hAnsi="Verdana"/>
          <w:b/>
          <w:bCs/>
        </w:rPr>
        <w:t>problèmes de chute de tension</w:t>
      </w:r>
      <w:r w:rsidRPr="00476187">
        <w:rPr>
          <w:rFonts w:ascii="Verdana" w:hAnsi="Verdana"/>
        </w:rPr>
        <w:t xml:space="preserve"> sont apparus comme les plus fréquents, en particulier </w:t>
      </w:r>
      <w:r w:rsidRPr="00476187">
        <w:rPr>
          <w:rFonts w:ascii="Verdana" w:hAnsi="Verdana"/>
          <w:b/>
          <w:bCs/>
        </w:rPr>
        <w:t>durant la période hivernale</w:t>
      </w:r>
      <w:r w:rsidRPr="00476187">
        <w:rPr>
          <w:rFonts w:ascii="Verdana" w:hAnsi="Verdana"/>
        </w:rPr>
        <w:t xml:space="preserve">, lorsque l’usage massif </w:t>
      </w:r>
      <w:r w:rsidRPr="00476187">
        <w:rPr>
          <w:rFonts w:ascii="Verdana" w:hAnsi="Verdana"/>
        </w:rPr>
        <w:lastRenderedPageBreak/>
        <w:t xml:space="preserve">de chauffages électriques fait exploser la consommation sur certains départs. La solution temporaire consiste à </w:t>
      </w:r>
      <w:r w:rsidRPr="00476187">
        <w:rPr>
          <w:rFonts w:ascii="Verdana" w:hAnsi="Verdana"/>
          <w:b/>
          <w:bCs/>
        </w:rPr>
        <w:t>ajuster la tension de sortie du transformateur</w:t>
      </w:r>
      <w:r w:rsidRPr="00476187">
        <w:rPr>
          <w:rFonts w:ascii="Verdana" w:hAnsi="Verdana"/>
        </w:rPr>
        <w:t xml:space="preserve">, mais cette mesure engendre parfois, à l’inverse, des </w:t>
      </w:r>
      <w:r w:rsidRPr="00476187">
        <w:rPr>
          <w:rFonts w:ascii="Verdana" w:hAnsi="Verdana"/>
          <w:b/>
          <w:bCs/>
        </w:rPr>
        <w:t>surtensions</w:t>
      </w:r>
      <w:r w:rsidRPr="00476187">
        <w:rPr>
          <w:rFonts w:ascii="Verdana" w:hAnsi="Verdana"/>
        </w:rPr>
        <w:t xml:space="preserve"> une fois les températures redevenues clémentes. Pour éviter de telles fluctuations, l’AIEG a mené plusieurs projets d’optimisation structurelle, notamment </w:t>
      </w:r>
      <w:r w:rsidRPr="00476187">
        <w:rPr>
          <w:rFonts w:ascii="Verdana" w:hAnsi="Verdana"/>
          <w:b/>
          <w:bCs/>
        </w:rPr>
        <w:t>l’implantation de réseaux 1000 V</w:t>
      </w:r>
      <w:r w:rsidRPr="00476187">
        <w:rPr>
          <w:rFonts w:ascii="Verdana" w:hAnsi="Verdana"/>
        </w:rPr>
        <w:t xml:space="preserve"> dans les zones rurales. Cette technologie permet de </w:t>
      </w:r>
      <w:r w:rsidRPr="00476187">
        <w:rPr>
          <w:rFonts w:ascii="Verdana" w:hAnsi="Verdana"/>
          <w:b/>
          <w:bCs/>
        </w:rPr>
        <w:t>maintenir une tension stable sur de longues distances</w:t>
      </w:r>
      <w:r w:rsidRPr="00476187">
        <w:rPr>
          <w:rFonts w:ascii="Verdana" w:hAnsi="Verdana"/>
        </w:rPr>
        <w:t xml:space="preserve">, sans avoir à doubler les tresses existantes, ce qui évite à la fois la surcharge des infrastructures et les investissements inutiles. Les plaintes liées au </w:t>
      </w:r>
      <w:r w:rsidRPr="00476187">
        <w:rPr>
          <w:rFonts w:ascii="Verdana" w:hAnsi="Verdana"/>
          <w:b/>
          <w:bCs/>
        </w:rPr>
        <w:t>flicker ou aux harmoniques</w:t>
      </w:r>
      <w:r w:rsidRPr="00476187">
        <w:rPr>
          <w:rFonts w:ascii="Verdana" w:hAnsi="Verdana"/>
        </w:rPr>
        <w:t xml:space="preserve"> sont quant à elles plus rares mais font l’objet d’une analyse spécifique à l’aide d’enregistreurs de qualité temporairement installés. En complément, les </w:t>
      </w:r>
      <w:r w:rsidRPr="00476187">
        <w:rPr>
          <w:rFonts w:ascii="Verdana" w:hAnsi="Verdana"/>
          <w:b/>
          <w:bCs/>
        </w:rPr>
        <w:t>URD</w:t>
      </w:r>
      <w:r w:rsidRPr="00476187">
        <w:rPr>
          <w:rFonts w:ascii="Verdana" w:hAnsi="Verdana"/>
        </w:rPr>
        <w:t xml:space="preserve"> disposent de procédures internes normalisées pour </w:t>
      </w:r>
      <w:r w:rsidRPr="00476187">
        <w:rPr>
          <w:rFonts w:ascii="Verdana" w:hAnsi="Verdana"/>
          <w:b/>
          <w:bCs/>
        </w:rPr>
        <w:t>remonter les anomalies de qualité de tension</w:t>
      </w:r>
      <w:r w:rsidRPr="00476187">
        <w:rPr>
          <w:rFonts w:ascii="Verdana" w:hAnsi="Verdana"/>
        </w:rPr>
        <w:t xml:space="preserve"> observées sur le terrain, qui sont ensuite centralisées, analysées et intégrées dans les plans d’investissement à moyen terme.</w:t>
      </w:r>
    </w:p>
    <w:p w14:paraId="4543ADE2" w14:textId="2EB9392B" w:rsidR="009C0E95" w:rsidRDefault="00A4285A" w:rsidP="00FF0737">
      <w:pPr>
        <w:pStyle w:val="AIEG3"/>
      </w:pPr>
      <w:r>
        <w:t>+</w:t>
      </w:r>
      <w:r w:rsidR="009C0E95">
        <w:t xml:space="preserve">Adaptations </w:t>
      </w:r>
      <w:proofErr w:type="gramStart"/>
      <w:r w:rsidR="009C0E95">
        <w:t>suite aux</w:t>
      </w:r>
      <w:proofErr w:type="gramEnd"/>
      <w:r w:rsidR="009C0E95">
        <w:t xml:space="preserve"> coupures non planifiées</w:t>
      </w:r>
    </w:p>
    <w:p w14:paraId="7839C8FC" w14:textId="77777777" w:rsidR="008E2974" w:rsidRDefault="008E2974" w:rsidP="008E2974">
      <w:pPr>
        <w:rPr>
          <w:rFonts w:ascii="Verdana" w:hAnsi="Verdana"/>
          <w:highlight w:val="yellow"/>
        </w:rPr>
      </w:pPr>
    </w:p>
    <w:p w14:paraId="47932489" w14:textId="7832EEB1" w:rsidR="008E2974" w:rsidRPr="000B01EA" w:rsidRDefault="008E2974" w:rsidP="00EC7024">
      <w:pPr>
        <w:jc w:val="both"/>
        <w:rPr>
          <w:rFonts w:ascii="Verdana" w:hAnsi="Verdana"/>
          <w:sz w:val="24"/>
          <w:szCs w:val="24"/>
        </w:rPr>
      </w:pPr>
      <w:r w:rsidRPr="000B01EA">
        <w:rPr>
          <w:rFonts w:ascii="Verdana" w:hAnsi="Verdana"/>
          <w:sz w:val="24"/>
          <w:szCs w:val="24"/>
        </w:rPr>
        <w:t xml:space="preserve">Les </w:t>
      </w:r>
      <w:r w:rsidRPr="000B01EA">
        <w:rPr>
          <w:rFonts w:ascii="Verdana" w:hAnsi="Verdana"/>
          <w:b/>
          <w:bCs/>
          <w:sz w:val="24"/>
          <w:szCs w:val="24"/>
        </w:rPr>
        <w:t>interruptions d’accès</w:t>
      </w:r>
      <w:r w:rsidRPr="000B01EA">
        <w:rPr>
          <w:rFonts w:ascii="Verdana" w:hAnsi="Verdana"/>
          <w:sz w:val="24"/>
          <w:szCs w:val="24"/>
        </w:rPr>
        <w:t xml:space="preserve"> en basse et moyenne tension sont analysées chaque année dans le cadre du </w:t>
      </w:r>
      <w:r w:rsidRPr="000B01EA">
        <w:rPr>
          <w:rFonts w:ascii="Verdana" w:hAnsi="Verdana"/>
          <w:b/>
          <w:bCs/>
          <w:sz w:val="24"/>
          <w:szCs w:val="24"/>
        </w:rPr>
        <w:t>rapport qualité</w:t>
      </w:r>
      <w:r w:rsidRPr="000B01EA">
        <w:rPr>
          <w:rFonts w:ascii="Verdana" w:hAnsi="Verdana"/>
          <w:sz w:val="24"/>
          <w:szCs w:val="24"/>
        </w:rPr>
        <w:t xml:space="preserve">, en croisant les données de coupures réelles avec les déclarations des clients, les enregistrements des cellules de protection et les relevés de télégestion. Sur cette base, l’AIEG définit une politique ciblée d’adaptations et d’investissements, fondée sur un </w:t>
      </w:r>
      <w:r w:rsidRPr="000B01EA">
        <w:rPr>
          <w:rFonts w:ascii="Verdana" w:hAnsi="Verdana"/>
          <w:b/>
          <w:bCs/>
          <w:sz w:val="24"/>
          <w:szCs w:val="24"/>
        </w:rPr>
        <w:t>indicateur prioritaire : le taux de défaillance des tronçons concernés</w:t>
      </w:r>
      <w:r w:rsidRPr="000B01EA">
        <w:rPr>
          <w:rFonts w:ascii="Verdana" w:hAnsi="Verdana"/>
          <w:sz w:val="24"/>
          <w:szCs w:val="24"/>
        </w:rPr>
        <w:t xml:space="preserve">. Seuls les tronçons présentant une </w:t>
      </w:r>
      <w:r w:rsidRPr="000B01EA">
        <w:rPr>
          <w:rFonts w:ascii="Verdana" w:hAnsi="Verdana"/>
          <w:b/>
          <w:bCs/>
          <w:sz w:val="24"/>
          <w:szCs w:val="24"/>
        </w:rPr>
        <w:t>récurrence anormale de coupures</w:t>
      </w:r>
      <w:r w:rsidRPr="000B01EA">
        <w:rPr>
          <w:rFonts w:ascii="Verdana" w:hAnsi="Verdana"/>
          <w:sz w:val="24"/>
          <w:szCs w:val="24"/>
        </w:rPr>
        <w:t xml:space="preserve">, une </w:t>
      </w:r>
      <w:r w:rsidRPr="000B01EA">
        <w:rPr>
          <w:rFonts w:ascii="Verdana" w:hAnsi="Verdana"/>
          <w:b/>
          <w:bCs/>
          <w:sz w:val="24"/>
          <w:szCs w:val="24"/>
        </w:rPr>
        <w:t>durée d’interruption élevée</w:t>
      </w:r>
      <w:r w:rsidRPr="000B01EA">
        <w:rPr>
          <w:rFonts w:ascii="Verdana" w:hAnsi="Verdana"/>
          <w:sz w:val="24"/>
          <w:szCs w:val="24"/>
        </w:rPr>
        <w:t xml:space="preserve">, ou une </w:t>
      </w:r>
      <w:r w:rsidRPr="000B01EA">
        <w:rPr>
          <w:rFonts w:ascii="Verdana" w:hAnsi="Verdana"/>
          <w:b/>
          <w:bCs/>
          <w:sz w:val="24"/>
          <w:szCs w:val="24"/>
        </w:rPr>
        <w:t>sensibilité critique (écoles, maisons de repos, zones industrielles, etc.)</w:t>
      </w:r>
      <w:r w:rsidRPr="000B01EA">
        <w:rPr>
          <w:rFonts w:ascii="Verdana" w:hAnsi="Verdana"/>
          <w:sz w:val="24"/>
          <w:szCs w:val="24"/>
        </w:rPr>
        <w:t xml:space="preserve"> font l’objet de mesures correctives. Ces adaptations peuvent inclure des remplacements de conducteurs vétustes, des renforcements ponctuels, la mise en boucle de certains réseaux ou l’automatisation de la reprise de service. Le détail des actions planifiées ou réalisées est disponible dans l’</w:t>
      </w:r>
      <w:r w:rsidRPr="000B01EA">
        <w:rPr>
          <w:rFonts w:ascii="Verdana" w:hAnsi="Verdana"/>
          <w:b/>
          <w:bCs/>
          <w:sz w:val="24"/>
          <w:szCs w:val="24"/>
        </w:rPr>
        <w:t>onglet spécifique du fichier Excel du plan d’adaptation</w:t>
      </w:r>
      <w:r w:rsidRPr="000B01EA">
        <w:rPr>
          <w:rFonts w:ascii="Verdana" w:hAnsi="Verdana"/>
          <w:sz w:val="24"/>
          <w:szCs w:val="24"/>
        </w:rPr>
        <w:t xml:space="preserve">, qui identifie clairement les tronçons ciblés en BT et MT, avec les dates d’intervention, les budgets prévus, et les justifications techniques. Cette approche permet de concentrer les moyens sur les zones à </w:t>
      </w:r>
      <w:r w:rsidRPr="000B01EA">
        <w:rPr>
          <w:rFonts w:ascii="Verdana" w:hAnsi="Verdana"/>
          <w:b/>
          <w:bCs/>
          <w:sz w:val="24"/>
          <w:szCs w:val="24"/>
        </w:rPr>
        <w:t>fort impact réseau</w:t>
      </w:r>
      <w:r w:rsidRPr="000B01EA">
        <w:rPr>
          <w:rFonts w:ascii="Verdana" w:hAnsi="Verdana"/>
          <w:sz w:val="24"/>
          <w:szCs w:val="24"/>
        </w:rPr>
        <w:t xml:space="preserve"> ou à </w:t>
      </w:r>
      <w:r w:rsidRPr="000B01EA">
        <w:rPr>
          <w:rFonts w:ascii="Verdana" w:hAnsi="Verdana"/>
          <w:b/>
          <w:bCs/>
          <w:sz w:val="24"/>
          <w:szCs w:val="24"/>
        </w:rPr>
        <w:t>fort enjeu de continuité de service</w:t>
      </w:r>
      <w:r w:rsidRPr="000B01EA">
        <w:rPr>
          <w:rFonts w:ascii="Verdana" w:hAnsi="Verdana"/>
          <w:sz w:val="24"/>
          <w:szCs w:val="24"/>
        </w:rPr>
        <w:t>, tout en garantissant un usage proportionné des ressources disponibles.</w:t>
      </w:r>
    </w:p>
    <w:p w14:paraId="50727E22" w14:textId="5365B065" w:rsidR="009C0E95" w:rsidRPr="009C0E95" w:rsidRDefault="009C0E95" w:rsidP="00FF0737">
      <w:pPr>
        <w:pStyle w:val="aieg4"/>
        <w:rPr>
          <w:b w:val="0"/>
        </w:rPr>
      </w:pPr>
      <w:proofErr w:type="gramStart"/>
      <w:r>
        <w:t>les</w:t>
      </w:r>
      <w:proofErr w:type="gramEnd"/>
      <w:r>
        <w:t xml:space="preserve"> coupures en BT</w:t>
      </w:r>
    </w:p>
    <w:p w14:paraId="535DBFAF" w14:textId="1AF631F1" w:rsidR="009C0E95" w:rsidRDefault="009C0E95" w:rsidP="00FF0737">
      <w:pPr>
        <w:pStyle w:val="aieg4"/>
      </w:pPr>
      <w:proofErr w:type="gramStart"/>
      <w:r>
        <w:t>les</w:t>
      </w:r>
      <w:proofErr w:type="gramEnd"/>
      <w:r>
        <w:t xml:space="preserve"> coupures en MT</w:t>
      </w:r>
    </w:p>
    <w:p w14:paraId="56CF84A9" w14:textId="77777777" w:rsidR="00605664" w:rsidRDefault="00605664" w:rsidP="00605664">
      <w:pPr>
        <w:pStyle w:val="aieg4"/>
        <w:numPr>
          <w:ilvl w:val="0"/>
          <w:numId w:val="0"/>
        </w:numPr>
        <w:ind w:left="3564"/>
      </w:pPr>
    </w:p>
    <w:p w14:paraId="0828F134" w14:textId="77777777" w:rsidR="00605664" w:rsidRDefault="00605664" w:rsidP="00605664">
      <w:pPr>
        <w:pStyle w:val="aieg4"/>
        <w:numPr>
          <w:ilvl w:val="0"/>
          <w:numId w:val="0"/>
        </w:numPr>
      </w:pPr>
    </w:p>
    <w:p w14:paraId="2E518659" w14:textId="51E8BD56" w:rsidR="00941965" w:rsidRDefault="00941965" w:rsidP="00F227FD">
      <w:pPr>
        <w:rPr>
          <w:rFonts w:ascii="Verdana" w:hAnsi="Verdana"/>
        </w:rPr>
      </w:pPr>
      <w:r>
        <w:rPr>
          <w:rFonts w:ascii="Verdana" w:hAnsi="Verdana"/>
        </w:rPr>
        <w:br w:type="page"/>
      </w:r>
    </w:p>
    <w:p w14:paraId="089BD675" w14:textId="027043C9" w:rsidR="009C0E95" w:rsidRDefault="009C0E95" w:rsidP="006B2B09">
      <w:pPr>
        <w:pStyle w:val="AIEG2"/>
      </w:pPr>
      <w:r>
        <w:lastRenderedPageBreak/>
        <w:t xml:space="preserve">Autres aspects à prendre en compte </w:t>
      </w:r>
    </w:p>
    <w:p w14:paraId="5D7EFCFA" w14:textId="731B07BD" w:rsidR="009C0E95" w:rsidRDefault="009C0E95" w:rsidP="006B2B09">
      <w:pPr>
        <w:pStyle w:val="AIEG3"/>
      </w:pPr>
      <w:proofErr w:type="gramStart"/>
      <w:r w:rsidRPr="009C0E95">
        <w:t>remplacements</w:t>
      </w:r>
      <w:proofErr w:type="gramEnd"/>
      <w:r w:rsidRPr="009C0E95">
        <w:t xml:space="preserve"> pour cause de vétusté</w:t>
      </w:r>
    </w:p>
    <w:p w14:paraId="275E433C" w14:textId="77777777" w:rsidR="004D47B3" w:rsidRDefault="004D47B3" w:rsidP="001F293C">
      <w:pPr>
        <w:jc w:val="both"/>
        <w:rPr>
          <w:rFonts w:ascii="Verdana" w:hAnsi="Verdana"/>
        </w:rPr>
      </w:pPr>
    </w:p>
    <w:p w14:paraId="7A17A4E6"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L’AIEG poursuit un programme structuré de </w:t>
      </w:r>
      <w:r w:rsidRPr="004D47B3">
        <w:rPr>
          <w:rFonts w:ascii="Verdana" w:hAnsi="Verdana"/>
          <w:b/>
          <w:bCs/>
          <w:sz w:val="24"/>
          <w:szCs w:val="24"/>
        </w:rPr>
        <w:t>remplacement des éléments vétustes</w:t>
      </w:r>
      <w:r w:rsidRPr="004D47B3">
        <w:rPr>
          <w:rFonts w:ascii="Verdana" w:hAnsi="Verdana"/>
          <w:sz w:val="24"/>
          <w:szCs w:val="24"/>
        </w:rPr>
        <w:t xml:space="preserve"> de ses réseaux moyenne et basse tension. Ce programme repose sur un </w:t>
      </w:r>
      <w:r w:rsidRPr="004D47B3">
        <w:rPr>
          <w:rFonts w:ascii="Verdana" w:hAnsi="Verdana"/>
          <w:b/>
          <w:bCs/>
          <w:sz w:val="24"/>
          <w:szCs w:val="24"/>
        </w:rPr>
        <w:t>diagnostic technique régulier</w:t>
      </w:r>
      <w:r w:rsidRPr="004D47B3">
        <w:rPr>
          <w:rFonts w:ascii="Verdana" w:hAnsi="Verdana"/>
          <w:sz w:val="24"/>
          <w:szCs w:val="24"/>
        </w:rPr>
        <w:t>, alimenté par les relevés de terrain, les retours d’exploitation, les visites d’organismes agréés et les statistiques de pannes.</w:t>
      </w:r>
    </w:p>
    <w:p w14:paraId="781DF25A" w14:textId="77777777" w:rsidR="004D47B3" w:rsidRPr="004D47B3" w:rsidRDefault="004D47B3" w:rsidP="004D47B3">
      <w:pPr>
        <w:jc w:val="both"/>
        <w:rPr>
          <w:rFonts w:ascii="Verdana" w:hAnsi="Verdana"/>
          <w:b/>
          <w:bCs/>
          <w:sz w:val="24"/>
          <w:szCs w:val="24"/>
        </w:rPr>
      </w:pPr>
      <w:r w:rsidRPr="004D47B3">
        <w:rPr>
          <w:rFonts w:ascii="Verdana" w:hAnsi="Verdana"/>
          <w:b/>
          <w:bCs/>
          <w:sz w:val="24"/>
          <w:szCs w:val="24"/>
        </w:rPr>
        <w:t>a) Remplacement des cabines vétustes</w:t>
      </w:r>
    </w:p>
    <w:p w14:paraId="2FE76EFE"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Le plan d’adaptation prévoit la </w:t>
      </w:r>
      <w:r w:rsidRPr="004D47B3">
        <w:rPr>
          <w:rFonts w:ascii="Verdana" w:hAnsi="Verdana"/>
          <w:b/>
          <w:bCs/>
          <w:sz w:val="24"/>
          <w:szCs w:val="24"/>
        </w:rPr>
        <w:t>rénovation de neuf cabines MT/BT</w:t>
      </w:r>
      <w:r w:rsidRPr="004D47B3">
        <w:rPr>
          <w:rFonts w:ascii="Verdana" w:hAnsi="Verdana"/>
          <w:sz w:val="24"/>
          <w:szCs w:val="24"/>
        </w:rPr>
        <w:t xml:space="preserve"> identifiées comme critiques à la suite des visites techniques annuelles réalisées par un organisme agréé. Ces cabines ont fait l’objet de remarques négatives, tant au regard du </w:t>
      </w:r>
      <w:r w:rsidRPr="004D47B3">
        <w:rPr>
          <w:rFonts w:ascii="Verdana" w:hAnsi="Verdana"/>
          <w:b/>
          <w:bCs/>
          <w:sz w:val="24"/>
          <w:szCs w:val="24"/>
        </w:rPr>
        <w:t>RGIE</w:t>
      </w:r>
      <w:r w:rsidRPr="004D47B3">
        <w:rPr>
          <w:rFonts w:ascii="Verdana" w:hAnsi="Verdana"/>
          <w:sz w:val="24"/>
          <w:szCs w:val="24"/>
        </w:rPr>
        <w:t xml:space="preserve"> que de l’</w:t>
      </w:r>
      <w:r w:rsidRPr="004D47B3">
        <w:rPr>
          <w:rFonts w:ascii="Verdana" w:hAnsi="Verdana"/>
          <w:b/>
          <w:bCs/>
          <w:sz w:val="24"/>
          <w:szCs w:val="24"/>
        </w:rPr>
        <w:t>AR du 4 décembre 2012</w:t>
      </w:r>
      <w:r w:rsidRPr="004D47B3">
        <w:rPr>
          <w:rFonts w:ascii="Verdana" w:hAnsi="Verdana"/>
          <w:sz w:val="24"/>
          <w:szCs w:val="24"/>
        </w:rPr>
        <w:t>, en raison de la vétusté de leurs équipements et de l’absence de dispositifs de surveillance modernes.</w:t>
      </w:r>
    </w:p>
    <w:p w14:paraId="5C99C955" w14:textId="77777777" w:rsidR="004D47B3" w:rsidRPr="004D47B3" w:rsidRDefault="004D47B3" w:rsidP="004D47B3">
      <w:pPr>
        <w:jc w:val="both"/>
        <w:rPr>
          <w:rFonts w:ascii="Verdana" w:hAnsi="Verdana"/>
          <w:sz w:val="24"/>
          <w:szCs w:val="24"/>
        </w:rPr>
      </w:pPr>
      <w:r w:rsidRPr="004D47B3">
        <w:rPr>
          <w:rFonts w:ascii="Verdana" w:hAnsi="Verdana"/>
          <w:sz w:val="24"/>
          <w:szCs w:val="24"/>
        </w:rPr>
        <w:t>Les travaux consisteront en :</w:t>
      </w:r>
    </w:p>
    <w:p w14:paraId="12CDB186" w14:textId="77777777" w:rsidR="004D47B3" w:rsidRPr="004D47B3" w:rsidRDefault="004D47B3" w:rsidP="004D47B3">
      <w:pPr>
        <w:numPr>
          <w:ilvl w:val="0"/>
          <w:numId w:val="34"/>
        </w:numPr>
        <w:jc w:val="both"/>
        <w:rPr>
          <w:rFonts w:ascii="Verdana" w:hAnsi="Verdana"/>
          <w:sz w:val="24"/>
          <w:szCs w:val="24"/>
        </w:rPr>
      </w:pPr>
      <w:r w:rsidRPr="004D47B3">
        <w:rPr>
          <w:rFonts w:ascii="Verdana" w:hAnsi="Verdana"/>
          <w:sz w:val="24"/>
          <w:szCs w:val="24"/>
        </w:rPr>
        <w:t xml:space="preserve">Le </w:t>
      </w:r>
      <w:r w:rsidRPr="004D47B3">
        <w:rPr>
          <w:rFonts w:ascii="Verdana" w:hAnsi="Verdana"/>
          <w:b/>
          <w:bCs/>
          <w:sz w:val="24"/>
          <w:szCs w:val="24"/>
        </w:rPr>
        <w:t>remplacement des logettes ouvertes</w:t>
      </w:r>
      <w:r w:rsidRPr="004D47B3">
        <w:rPr>
          <w:rFonts w:ascii="Verdana" w:hAnsi="Verdana"/>
          <w:sz w:val="24"/>
          <w:szCs w:val="24"/>
        </w:rPr>
        <w:t xml:space="preserve"> par des </w:t>
      </w:r>
      <w:r w:rsidRPr="004D47B3">
        <w:rPr>
          <w:rFonts w:ascii="Verdana" w:hAnsi="Verdana"/>
          <w:b/>
          <w:bCs/>
          <w:sz w:val="24"/>
          <w:szCs w:val="24"/>
        </w:rPr>
        <w:t>cellulages modulaires</w:t>
      </w:r>
      <w:r w:rsidRPr="004D47B3">
        <w:rPr>
          <w:rFonts w:ascii="Verdana" w:hAnsi="Verdana"/>
          <w:sz w:val="24"/>
          <w:szCs w:val="24"/>
        </w:rPr>
        <w:t>, conformes aux normes actuelles.</w:t>
      </w:r>
    </w:p>
    <w:p w14:paraId="78202DE1" w14:textId="77777777" w:rsidR="004D47B3" w:rsidRPr="004D47B3" w:rsidRDefault="004D47B3" w:rsidP="004D47B3">
      <w:pPr>
        <w:numPr>
          <w:ilvl w:val="0"/>
          <w:numId w:val="34"/>
        </w:numPr>
        <w:jc w:val="both"/>
        <w:rPr>
          <w:rFonts w:ascii="Verdana" w:hAnsi="Verdana"/>
          <w:sz w:val="24"/>
          <w:szCs w:val="24"/>
        </w:rPr>
      </w:pPr>
      <w:r w:rsidRPr="004D47B3">
        <w:rPr>
          <w:rFonts w:ascii="Verdana" w:hAnsi="Verdana"/>
          <w:sz w:val="24"/>
          <w:szCs w:val="24"/>
        </w:rPr>
        <w:t xml:space="preserve">L’intégration d’un </w:t>
      </w:r>
      <w:r w:rsidRPr="004D47B3">
        <w:rPr>
          <w:rFonts w:ascii="Verdana" w:hAnsi="Verdana"/>
          <w:b/>
          <w:bCs/>
          <w:sz w:val="24"/>
          <w:szCs w:val="24"/>
        </w:rPr>
        <w:t>RTU (</w:t>
      </w:r>
      <w:proofErr w:type="spellStart"/>
      <w:r w:rsidRPr="004D47B3">
        <w:rPr>
          <w:rFonts w:ascii="Verdana" w:hAnsi="Verdana"/>
          <w:b/>
          <w:bCs/>
          <w:sz w:val="24"/>
          <w:szCs w:val="24"/>
        </w:rPr>
        <w:t>Remote</w:t>
      </w:r>
      <w:proofErr w:type="spellEnd"/>
      <w:r w:rsidRPr="004D47B3">
        <w:rPr>
          <w:rFonts w:ascii="Verdana" w:hAnsi="Verdana"/>
          <w:b/>
          <w:bCs/>
          <w:sz w:val="24"/>
          <w:szCs w:val="24"/>
        </w:rPr>
        <w:t xml:space="preserve"> Terminal Unit)</w:t>
      </w:r>
      <w:r w:rsidRPr="004D47B3">
        <w:rPr>
          <w:rFonts w:ascii="Verdana" w:hAnsi="Verdana"/>
          <w:sz w:val="24"/>
          <w:szCs w:val="24"/>
        </w:rPr>
        <w:t xml:space="preserve"> pour le télécontrôle, permettant le </w:t>
      </w:r>
      <w:r w:rsidRPr="004D47B3">
        <w:rPr>
          <w:rFonts w:ascii="Verdana" w:hAnsi="Verdana"/>
          <w:b/>
          <w:bCs/>
          <w:sz w:val="24"/>
          <w:szCs w:val="24"/>
        </w:rPr>
        <w:t>monitoring en temps réel</w:t>
      </w:r>
      <w:r w:rsidRPr="004D47B3">
        <w:rPr>
          <w:rFonts w:ascii="Verdana" w:hAnsi="Verdana"/>
          <w:sz w:val="24"/>
          <w:szCs w:val="24"/>
        </w:rPr>
        <w:t xml:space="preserve"> des grandeurs électriques (tension, courant, fréquence) ainsi que la </w:t>
      </w:r>
      <w:r w:rsidRPr="004D47B3">
        <w:rPr>
          <w:rFonts w:ascii="Verdana" w:hAnsi="Verdana"/>
          <w:b/>
          <w:bCs/>
          <w:sz w:val="24"/>
          <w:szCs w:val="24"/>
        </w:rPr>
        <w:t>détection automatique de défauts</w:t>
      </w:r>
      <w:r w:rsidRPr="004D47B3">
        <w:rPr>
          <w:rFonts w:ascii="Verdana" w:hAnsi="Verdana"/>
          <w:sz w:val="24"/>
          <w:szCs w:val="24"/>
        </w:rPr>
        <w:t xml:space="preserve"> (court-circuit, surtension, etc.).</w:t>
      </w:r>
    </w:p>
    <w:p w14:paraId="058D0688" w14:textId="77777777" w:rsidR="004D47B3" w:rsidRPr="004D47B3" w:rsidRDefault="004D47B3" w:rsidP="004D47B3">
      <w:pPr>
        <w:numPr>
          <w:ilvl w:val="0"/>
          <w:numId w:val="34"/>
        </w:numPr>
        <w:jc w:val="both"/>
        <w:rPr>
          <w:rFonts w:ascii="Verdana" w:hAnsi="Verdana"/>
          <w:sz w:val="24"/>
          <w:szCs w:val="24"/>
        </w:rPr>
      </w:pPr>
      <w:r w:rsidRPr="004D47B3">
        <w:rPr>
          <w:rFonts w:ascii="Verdana" w:hAnsi="Verdana"/>
          <w:sz w:val="24"/>
          <w:szCs w:val="24"/>
        </w:rPr>
        <w:t>Le remplacement des protections obsolètes par des disjoncteurs à déclenchement télécommandé pour les transformateurs de plus de 630 kVA.</w:t>
      </w:r>
    </w:p>
    <w:p w14:paraId="0E403134" w14:textId="77777777" w:rsidR="004D47B3" w:rsidRPr="004D47B3" w:rsidRDefault="004D47B3" w:rsidP="004D47B3">
      <w:pPr>
        <w:jc w:val="both"/>
        <w:rPr>
          <w:rFonts w:ascii="Verdana" w:hAnsi="Verdana"/>
          <w:sz w:val="24"/>
          <w:szCs w:val="24"/>
        </w:rPr>
      </w:pPr>
      <w:r w:rsidRPr="004D47B3">
        <w:rPr>
          <w:rFonts w:ascii="Verdana" w:hAnsi="Verdana"/>
          <w:sz w:val="24"/>
          <w:szCs w:val="24"/>
        </w:rPr>
        <w:t>Les cabines concernées sont :</w:t>
      </w:r>
    </w:p>
    <w:p w14:paraId="7EAD4C1F" w14:textId="3728D835" w:rsidR="004D47B3" w:rsidRPr="004D47B3" w:rsidRDefault="001A34DA" w:rsidP="004D47B3">
      <w:pPr>
        <w:jc w:val="both"/>
        <w:rPr>
          <w:rFonts w:ascii="Verdana" w:hAnsi="Verdana"/>
          <w:sz w:val="24"/>
          <w:szCs w:val="24"/>
        </w:rPr>
      </w:pPr>
      <w:r w:rsidRPr="001A34DA">
        <w:rPr>
          <w:rFonts w:ascii="Verdana" w:hAnsi="Verdana"/>
          <w:sz w:val="24"/>
          <w:szCs w:val="24"/>
          <w:highlight w:val="yellow"/>
        </w:rPr>
        <w:t>VOIR FICHIER EXCELL</w:t>
      </w:r>
    </w:p>
    <w:p w14:paraId="594E2A63" w14:textId="77777777" w:rsidR="004D47B3" w:rsidRPr="004D47B3" w:rsidRDefault="004D47B3" w:rsidP="004D47B3">
      <w:pPr>
        <w:jc w:val="both"/>
        <w:rPr>
          <w:rFonts w:ascii="Verdana" w:hAnsi="Verdana"/>
          <w:b/>
          <w:bCs/>
          <w:sz w:val="24"/>
          <w:szCs w:val="24"/>
        </w:rPr>
      </w:pPr>
      <w:r w:rsidRPr="004D47B3">
        <w:rPr>
          <w:rFonts w:ascii="Verdana" w:hAnsi="Verdana"/>
          <w:b/>
          <w:bCs/>
          <w:sz w:val="24"/>
          <w:szCs w:val="24"/>
        </w:rPr>
        <w:t>b) Réseaux aérien en cuivre nu – État des lieux et stratégie de remplacement</w:t>
      </w:r>
    </w:p>
    <w:p w14:paraId="26BCEBD0"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Le </w:t>
      </w:r>
      <w:r w:rsidRPr="004D47B3">
        <w:rPr>
          <w:rFonts w:ascii="Verdana" w:hAnsi="Verdana"/>
          <w:b/>
          <w:bCs/>
          <w:sz w:val="24"/>
          <w:szCs w:val="24"/>
        </w:rPr>
        <w:t>cuivre nu</w:t>
      </w:r>
      <w:r w:rsidRPr="004D47B3">
        <w:rPr>
          <w:rFonts w:ascii="Verdana" w:hAnsi="Verdana"/>
          <w:sz w:val="24"/>
          <w:szCs w:val="24"/>
        </w:rPr>
        <w:t>, historiquement utilisé pour les réseaux aériens MT et BT, est progressivement retiré du réseau, en particulier lorsqu’il est jugé obsolète. Au 31/12/2028, la situation est la suivante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3"/>
        <w:gridCol w:w="1023"/>
        <w:gridCol w:w="1326"/>
        <w:gridCol w:w="903"/>
        <w:gridCol w:w="1023"/>
        <w:gridCol w:w="1326"/>
        <w:gridCol w:w="918"/>
      </w:tblGrid>
      <w:tr w:rsidR="004D47B3" w:rsidRPr="004D47B3" w14:paraId="1C7AD728" w14:textId="77777777" w:rsidTr="004D47B3">
        <w:trPr>
          <w:tblHeader/>
          <w:tblCellSpacing w:w="15" w:type="dxa"/>
        </w:trPr>
        <w:tc>
          <w:tcPr>
            <w:tcW w:w="0" w:type="auto"/>
            <w:vAlign w:val="center"/>
            <w:hideMark/>
          </w:tcPr>
          <w:p w14:paraId="38AF47DB" w14:textId="77777777" w:rsidR="004D47B3" w:rsidRPr="004D47B3" w:rsidRDefault="004D47B3" w:rsidP="004D47B3">
            <w:pPr>
              <w:jc w:val="both"/>
              <w:rPr>
                <w:rFonts w:ascii="Verdana" w:hAnsi="Verdana"/>
                <w:sz w:val="24"/>
                <w:szCs w:val="24"/>
              </w:rPr>
            </w:pPr>
          </w:p>
        </w:tc>
        <w:tc>
          <w:tcPr>
            <w:tcW w:w="0" w:type="auto"/>
            <w:vAlign w:val="center"/>
            <w:hideMark/>
          </w:tcPr>
          <w:p w14:paraId="3764665D" w14:textId="77777777" w:rsidR="004D47B3" w:rsidRPr="004D47B3" w:rsidRDefault="004D47B3" w:rsidP="004D47B3">
            <w:pPr>
              <w:jc w:val="both"/>
              <w:rPr>
                <w:rFonts w:ascii="Verdana" w:hAnsi="Verdana"/>
                <w:b/>
                <w:bCs/>
                <w:sz w:val="24"/>
                <w:szCs w:val="24"/>
              </w:rPr>
            </w:pPr>
            <w:r w:rsidRPr="004D47B3">
              <w:rPr>
                <w:rFonts w:ascii="Verdana" w:hAnsi="Verdana"/>
                <w:b/>
                <w:bCs/>
                <w:sz w:val="24"/>
                <w:szCs w:val="24"/>
              </w:rPr>
              <w:t>MT</w:t>
            </w:r>
          </w:p>
        </w:tc>
        <w:tc>
          <w:tcPr>
            <w:tcW w:w="0" w:type="auto"/>
            <w:vAlign w:val="center"/>
            <w:hideMark/>
          </w:tcPr>
          <w:p w14:paraId="21B7D468" w14:textId="77777777" w:rsidR="004D47B3" w:rsidRPr="004D47B3" w:rsidRDefault="004D47B3" w:rsidP="004D47B3">
            <w:pPr>
              <w:jc w:val="both"/>
              <w:rPr>
                <w:rFonts w:ascii="Verdana" w:hAnsi="Verdana"/>
                <w:b/>
                <w:bCs/>
                <w:sz w:val="24"/>
                <w:szCs w:val="24"/>
              </w:rPr>
            </w:pPr>
          </w:p>
        </w:tc>
        <w:tc>
          <w:tcPr>
            <w:tcW w:w="0" w:type="auto"/>
            <w:vAlign w:val="center"/>
            <w:hideMark/>
          </w:tcPr>
          <w:p w14:paraId="245C4C5C" w14:textId="77777777" w:rsidR="004D47B3" w:rsidRPr="004D47B3" w:rsidRDefault="004D47B3" w:rsidP="004D47B3">
            <w:pPr>
              <w:jc w:val="both"/>
              <w:rPr>
                <w:rFonts w:ascii="Verdana" w:hAnsi="Verdana"/>
                <w:sz w:val="24"/>
                <w:szCs w:val="24"/>
              </w:rPr>
            </w:pPr>
          </w:p>
        </w:tc>
        <w:tc>
          <w:tcPr>
            <w:tcW w:w="0" w:type="auto"/>
            <w:vAlign w:val="center"/>
            <w:hideMark/>
          </w:tcPr>
          <w:p w14:paraId="03EA3034" w14:textId="77777777" w:rsidR="004D47B3" w:rsidRPr="004D47B3" w:rsidRDefault="004D47B3" w:rsidP="004D47B3">
            <w:pPr>
              <w:jc w:val="both"/>
              <w:rPr>
                <w:rFonts w:ascii="Verdana" w:hAnsi="Verdana"/>
                <w:b/>
                <w:bCs/>
                <w:sz w:val="24"/>
                <w:szCs w:val="24"/>
              </w:rPr>
            </w:pPr>
            <w:r w:rsidRPr="004D47B3">
              <w:rPr>
                <w:rFonts w:ascii="Verdana" w:hAnsi="Verdana"/>
                <w:b/>
                <w:bCs/>
                <w:sz w:val="24"/>
                <w:szCs w:val="24"/>
              </w:rPr>
              <w:t>BT</w:t>
            </w:r>
          </w:p>
        </w:tc>
        <w:tc>
          <w:tcPr>
            <w:tcW w:w="0" w:type="auto"/>
            <w:vAlign w:val="center"/>
            <w:hideMark/>
          </w:tcPr>
          <w:p w14:paraId="4A47F902" w14:textId="77777777" w:rsidR="004D47B3" w:rsidRPr="004D47B3" w:rsidRDefault="004D47B3" w:rsidP="004D47B3">
            <w:pPr>
              <w:jc w:val="both"/>
              <w:rPr>
                <w:rFonts w:ascii="Verdana" w:hAnsi="Verdana"/>
                <w:b/>
                <w:bCs/>
                <w:sz w:val="24"/>
                <w:szCs w:val="24"/>
              </w:rPr>
            </w:pPr>
          </w:p>
        </w:tc>
        <w:tc>
          <w:tcPr>
            <w:tcW w:w="0" w:type="auto"/>
            <w:vAlign w:val="center"/>
            <w:hideMark/>
          </w:tcPr>
          <w:p w14:paraId="46288B75" w14:textId="77777777" w:rsidR="004D47B3" w:rsidRPr="004D47B3" w:rsidRDefault="004D47B3" w:rsidP="004D47B3">
            <w:pPr>
              <w:jc w:val="both"/>
              <w:rPr>
                <w:rFonts w:ascii="Verdana" w:hAnsi="Verdana"/>
                <w:sz w:val="24"/>
                <w:szCs w:val="24"/>
              </w:rPr>
            </w:pPr>
          </w:p>
        </w:tc>
      </w:tr>
      <w:tr w:rsidR="004D47B3" w:rsidRPr="004D47B3" w14:paraId="16FEF878" w14:textId="77777777" w:rsidTr="004D47B3">
        <w:trPr>
          <w:tblCellSpacing w:w="15" w:type="dxa"/>
        </w:trPr>
        <w:tc>
          <w:tcPr>
            <w:tcW w:w="0" w:type="auto"/>
            <w:vAlign w:val="center"/>
            <w:hideMark/>
          </w:tcPr>
          <w:p w14:paraId="2F9CD03B" w14:textId="77777777" w:rsidR="004D47B3" w:rsidRPr="004D47B3" w:rsidRDefault="004D47B3" w:rsidP="004D47B3">
            <w:pPr>
              <w:jc w:val="both"/>
              <w:rPr>
                <w:rFonts w:ascii="Verdana" w:hAnsi="Verdana"/>
                <w:sz w:val="24"/>
                <w:szCs w:val="24"/>
              </w:rPr>
            </w:pPr>
          </w:p>
        </w:tc>
        <w:tc>
          <w:tcPr>
            <w:tcW w:w="0" w:type="auto"/>
            <w:vAlign w:val="center"/>
            <w:hideMark/>
          </w:tcPr>
          <w:p w14:paraId="2DED31D7" w14:textId="77777777" w:rsidR="004D47B3" w:rsidRPr="004D47B3" w:rsidRDefault="004D47B3" w:rsidP="004D47B3">
            <w:pPr>
              <w:jc w:val="both"/>
              <w:rPr>
                <w:rFonts w:ascii="Verdana" w:hAnsi="Verdana"/>
                <w:sz w:val="24"/>
                <w:szCs w:val="24"/>
              </w:rPr>
            </w:pPr>
            <w:r w:rsidRPr="004D47B3">
              <w:rPr>
                <w:rFonts w:ascii="Verdana" w:hAnsi="Verdana"/>
                <w:sz w:val="24"/>
                <w:szCs w:val="24"/>
              </w:rPr>
              <w:t>Aérien</w:t>
            </w:r>
          </w:p>
        </w:tc>
        <w:tc>
          <w:tcPr>
            <w:tcW w:w="0" w:type="auto"/>
            <w:vAlign w:val="center"/>
            <w:hideMark/>
          </w:tcPr>
          <w:p w14:paraId="7F9DC6BD" w14:textId="77777777" w:rsidR="004D47B3" w:rsidRPr="004D47B3" w:rsidRDefault="004D47B3" w:rsidP="004D47B3">
            <w:pPr>
              <w:jc w:val="both"/>
              <w:rPr>
                <w:rFonts w:ascii="Verdana" w:hAnsi="Verdana"/>
                <w:sz w:val="24"/>
                <w:szCs w:val="24"/>
              </w:rPr>
            </w:pPr>
            <w:r w:rsidRPr="004D47B3">
              <w:rPr>
                <w:rFonts w:ascii="Verdana" w:hAnsi="Verdana"/>
                <w:sz w:val="24"/>
                <w:szCs w:val="24"/>
              </w:rPr>
              <w:t>Souterrain</w:t>
            </w:r>
          </w:p>
        </w:tc>
        <w:tc>
          <w:tcPr>
            <w:tcW w:w="0" w:type="auto"/>
            <w:vAlign w:val="center"/>
            <w:hideMark/>
          </w:tcPr>
          <w:p w14:paraId="62DE455B" w14:textId="77777777" w:rsidR="004D47B3" w:rsidRPr="004D47B3" w:rsidRDefault="004D47B3" w:rsidP="004D47B3">
            <w:pPr>
              <w:jc w:val="both"/>
              <w:rPr>
                <w:rFonts w:ascii="Verdana" w:hAnsi="Verdana"/>
                <w:sz w:val="24"/>
                <w:szCs w:val="24"/>
              </w:rPr>
            </w:pPr>
            <w:r w:rsidRPr="004D47B3">
              <w:rPr>
                <w:rFonts w:ascii="Verdana" w:hAnsi="Verdana"/>
                <w:sz w:val="24"/>
                <w:szCs w:val="24"/>
              </w:rPr>
              <w:t>Total</w:t>
            </w:r>
          </w:p>
        </w:tc>
        <w:tc>
          <w:tcPr>
            <w:tcW w:w="0" w:type="auto"/>
            <w:vAlign w:val="center"/>
            <w:hideMark/>
          </w:tcPr>
          <w:p w14:paraId="0417A847" w14:textId="77777777" w:rsidR="004D47B3" w:rsidRPr="004D47B3" w:rsidRDefault="004D47B3" w:rsidP="004D47B3">
            <w:pPr>
              <w:jc w:val="both"/>
              <w:rPr>
                <w:rFonts w:ascii="Verdana" w:hAnsi="Verdana"/>
                <w:sz w:val="24"/>
                <w:szCs w:val="24"/>
              </w:rPr>
            </w:pPr>
            <w:r w:rsidRPr="004D47B3">
              <w:rPr>
                <w:rFonts w:ascii="Verdana" w:hAnsi="Verdana"/>
                <w:sz w:val="24"/>
                <w:szCs w:val="24"/>
              </w:rPr>
              <w:t>Aérien</w:t>
            </w:r>
          </w:p>
        </w:tc>
        <w:tc>
          <w:tcPr>
            <w:tcW w:w="0" w:type="auto"/>
            <w:vAlign w:val="center"/>
            <w:hideMark/>
          </w:tcPr>
          <w:p w14:paraId="1A9F54B5" w14:textId="77777777" w:rsidR="004D47B3" w:rsidRPr="004D47B3" w:rsidRDefault="004D47B3" w:rsidP="004D47B3">
            <w:pPr>
              <w:jc w:val="both"/>
              <w:rPr>
                <w:rFonts w:ascii="Verdana" w:hAnsi="Verdana"/>
                <w:sz w:val="24"/>
                <w:szCs w:val="24"/>
              </w:rPr>
            </w:pPr>
            <w:r w:rsidRPr="004D47B3">
              <w:rPr>
                <w:rFonts w:ascii="Verdana" w:hAnsi="Verdana"/>
                <w:sz w:val="24"/>
                <w:szCs w:val="24"/>
              </w:rPr>
              <w:t>Souterrain</w:t>
            </w:r>
          </w:p>
        </w:tc>
        <w:tc>
          <w:tcPr>
            <w:tcW w:w="0" w:type="auto"/>
            <w:vAlign w:val="center"/>
            <w:hideMark/>
          </w:tcPr>
          <w:p w14:paraId="6D815DF9" w14:textId="77777777" w:rsidR="004D47B3" w:rsidRPr="004D47B3" w:rsidRDefault="004D47B3" w:rsidP="004D47B3">
            <w:pPr>
              <w:jc w:val="both"/>
              <w:rPr>
                <w:rFonts w:ascii="Verdana" w:hAnsi="Verdana"/>
                <w:sz w:val="24"/>
                <w:szCs w:val="24"/>
              </w:rPr>
            </w:pPr>
            <w:r w:rsidRPr="004D47B3">
              <w:rPr>
                <w:rFonts w:ascii="Verdana" w:hAnsi="Verdana"/>
                <w:sz w:val="24"/>
                <w:szCs w:val="24"/>
              </w:rPr>
              <w:t>Total</w:t>
            </w:r>
          </w:p>
        </w:tc>
      </w:tr>
      <w:tr w:rsidR="004D47B3" w:rsidRPr="004D47B3" w14:paraId="4A664129" w14:textId="77777777" w:rsidTr="004D47B3">
        <w:trPr>
          <w:tblCellSpacing w:w="15" w:type="dxa"/>
        </w:trPr>
        <w:tc>
          <w:tcPr>
            <w:tcW w:w="0" w:type="auto"/>
            <w:vAlign w:val="center"/>
            <w:hideMark/>
          </w:tcPr>
          <w:p w14:paraId="4E8ED35B" w14:textId="77777777" w:rsidR="004D47B3" w:rsidRPr="004D47B3" w:rsidRDefault="004D47B3" w:rsidP="004D47B3">
            <w:pPr>
              <w:jc w:val="both"/>
              <w:rPr>
                <w:rFonts w:ascii="Verdana" w:hAnsi="Verdana"/>
                <w:sz w:val="24"/>
                <w:szCs w:val="24"/>
              </w:rPr>
            </w:pPr>
            <w:r w:rsidRPr="004D47B3">
              <w:rPr>
                <w:rFonts w:ascii="Verdana" w:hAnsi="Verdana"/>
                <w:sz w:val="24"/>
                <w:szCs w:val="24"/>
              </w:rPr>
              <w:lastRenderedPageBreak/>
              <w:t>Longueur totale</w:t>
            </w:r>
          </w:p>
        </w:tc>
        <w:tc>
          <w:tcPr>
            <w:tcW w:w="0" w:type="auto"/>
            <w:vAlign w:val="center"/>
            <w:hideMark/>
          </w:tcPr>
          <w:p w14:paraId="584F3A00" w14:textId="77777777" w:rsidR="004D47B3" w:rsidRPr="004D47B3" w:rsidRDefault="004D47B3" w:rsidP="004D47B3">
            <w:pPr>
              <w:jc w:val="both"/>
              <w:rPr>
                <w:rFonts w:ascii="Verdana" w:hAnsi="Verdana"/>
                <w:sz w:val="24"/>
                <w:szCs w:val="24"/>
              </w:rPr>
            </w:pPr>
            <w:r w:rsidRPr="004D47B3">
              <w:rPr>
                <w:rFonts w:ascii="Verdana" w:hAnsi="Verdana"/>
                <w:sz w:val="24"/>
                <w:szCs w:val="24"/>
              </w:rPr>
              <w:t>111 km</w:t>
            </w:r>
          </w:p>
        </w:tc>
        <w:tc>
          <w:tcPr>
            <w:tcW w:w="0" w:type="auto"/>
            <w:vAlign w:val="center"/>
            <w:hideMark/>
          </w:tcPr>
          <w:p w14:paraId="7270FA13" w14:textId="77777777" w:rsidR="004D47B3" w:rsidRPr="004D47B3" w:rsidRDefault="004D47B3" w:rsidP="004D47B3">
            <w:pPr>
              <w:jc w:val="both"/>
              <w:rPr>
                <w:rFonts w:ascii="Verdana" w:hAnsi="Verdana"/>
                <w:sz w:val="24"/>
                <w:szCs w:val="24"/>
              </w:rPr>
            </w:pPr>
            <w:r w:rsidRPr="004D47B3">
              <w:rPr>
                <w:rFonts w:ascii="Verdana" w:hAnsi="Verdana"/>
                <w:sz w:val="24"/>
                <w:szCs w:val="24"/>
              </w:rPr>
              <w:t>328 km</w:t>
            </w:r>
          </w:p>
        </w:tc>
        <w:tc>
          <w:tcPr>
            <w:tcW w:w="0" w:type="auto"/>
            <w:vAlign w:val="center"/>
            <w:hideMark/>
          </w:tcPr>
          <w:p w14:paraId="73369034" w14:textId="77777777" w:rsidR="004D47B3" w:rsidRPr="004D47B3" w:rsidRDefault="004D47B3" w:rsidP="004D47B3">
            <w:pPr>
              <w:jc w:val="both"/>
              <w:rPr>
                <w:rFonts w:ascii="Verdana" w:hAnsi="Verdana"/>
                <w:sz w:val="24"/>
                <w:szCs w:val="24"/>
              </w:rPr>
            </w:pPr>
            <w:r w:rsidRPr="004D47B3">
              <w:rPr>
                <w:rFonts w:ascii="Verdana" w:hAnsi="Verdana"/>
                <w:sz w:val="24"/>
                <w:szCs w:val="24"/>
              </w:rPr>
              <w:t>439 km</w:t>
            </w:r>
          </w:p>
        </w:tc>
        <w:tc>
          <w:tcPr>
            <w:tcW w:w="0" w:type="auto"/>
            <w:vAlign w:val="center"/>
            <w:hideMark/>
          </w:tcPr>
          <w:p w14:paraId="0F470AE9" w14:textId="77777777" w:rsidR="004D47B3" w:rsidRPr="004D47B3" w:rsidRDefault="004D47B3" w:rsidP="004D47B3">
            <w:pPr>
              <w:jc w:val="both"/>
              <w:rPr>
                <w:rFonts w:ascii="Verdana" w:hAnsi="Verdana"/>
                <w:sz w:val="24"/>
                <w:szCs w:val="24"/>
              </w:rPr>
            </w:pPr>
            <w:r w:rsidRPr="004D47B3">
              <w:rPr>
                <w:rFonts w:ascii="Verdana" w:hAnsi="Verdana"/>
                <w:sz w:val="24"/>
                <w:szCs w:val="24"/>
              </w:rPr>
              <w:t>513 km</w:t>
            </w:r>
          </w:p>
        </w:tc>
        <w:tc>
          <w:tcPr>
            <w:tcW w:w="0" w:type="auto"/>
            <w:vAlign w:val="center"/>
            <w:hideMark/>
          </w:tcPr>
          <w:p w14:paraId="337A5567" w14:textId="77777777" w:rsidR="004D47B3" w:rsidRPr="004D47B3" w:rsidRDefault="004D47B3" w:rsidP="004D47B3">
            <w:pPr>
              <w:jc w:val="both"/>
              <w:rPr>
                <w:rFonts w:ascii="Verdana" w:hAnsi="Verdana"/>
                <w:sz w:val="24"/>
                <w:szCs w:val="24"/>
              </w:rPr>
            </w:pPr>
            <w:r w:rsidRPr="004D47B3">
              <w:rPr>
                <w:rFonts w:ascii="Verdana" w:hAnsi="Verdana"/>
                <w:sz w:val="24"/>
                <w:szCs w:val="24"/>
              </w:rPr>
              <w:t>104 km</w:t>
            </w:r>
          </w:p>
        </w:tc>
        <w:tc>
          <w:tcPr>
            <w:tcW w:w="0" w:type="auto"/>
            <w:vAlign w:val="center"/>
            <w:hideMark/>
          </w:tcPr>
          <w:p w14:paraId="772B1234" w14:textId="77777777" w:rsidR="004D47B3" w:rsidRPr="004D47B3" w:rsidRDefault="004D47B3" w:rsidP="004D47B3">
            <w:pPr>
              <w:jc w:val="both"/>
              <w:rPr>
                <w:rFonts w:ascii="Verdana" w:hAnsi="Verdana"/>
                <w:sz w:val="24"/>
                <w:szCs w:val="24"/>
              </w:rPr>
            </w:pPr>
            <w:r w:rsidRPr="004D47B3">
              <w:rPr>
                <w:rFonts w:ascii="Verdana" w:hAnsi="Verdana"/>
                <w:sz w:val="24"/>
                <w:szCs w:val="24"/>
              </w:rPr>
              <w:t>617 km</w:t>
            </w:r>
          </w:p>
        </w:tc>
      </w:tr>
      <w:tr w:rsidR="004D47B3" w:rsidRPr="004D47B3" w14:paraId="274BED7A" w14:textId="77777777" w:rsidTr="004D47B3">
        <w:trPr>
          <w:tblCellSpacing w:w="15" w:type="dxa"/>
        </w:trPr>
        <w:tc>
          <w:tcPr>
            <w:tcW w:w="0" w:type="auto"/>
            <w:vAlign w:val="center"/>
            <w:hideMark/>
          </w:tcPr>
          <w:p w14:paraId="4FDEADDE" w14:textId="77777777" w:rsidR="004D47B3" w:rsidRPr="004D47B3" w:rsidRDefault="004D47B3" w:rsidP="004D47B3">
            <w:pPr>
              <w:jc w:val="both"/>
              <w:rPr>
                <w:rFonts w:ascii="Verdana" w:hAnsi="Verdana"/>
                <w:sz w:val="24"/>
                <w:szCs w:val="24"/>
              </w:rPr>
            </w:pPr>
            <w:r w:rsidRPr="004D47B3">
              <w:rPr>
                <w:rFonts w:ascii="Verdana" w:hAnsi="Verdana"/>
                <w:sz w:val="24"/>
                <w:szCs w:val="24"/>
              </w:rPr>
              <w:t>Lignes en Cu nu</w:t>
            </w:r>
          </w:p>
        </w:tc>
        <w:tc>
          <w:tcPr>
            <w:tcW w:w="0" w:type="auto"/>
            <w:vAlign w:val="center"/>
            <w:hideMark/>
          </w:tcPr>
          <w:p w14:paraId="2CC0EDAC" w14:textId="77777777" w:rsidR="004D47B3" w:rsidRPr="004D47B3" w:rsidRDefault="004D47B3" w:rsidP="004D47B3">
            <w:pPr>
              <w:jc w:val="both"/>
              <w:rPr>
                <w:rFonts w:ascii="Verdana" w:hAnsi="Verdana"/>
                <w:sz w:val="24"/>
                <w:szCs w:val="24"/>
              </w:rPr>
            </w:pPr>
            <w:r w:rsidRPr="004D47B3">
              <w:rPr>
                <w:rFonts w:ascii="Verdana" w:hAnsi="Verdana"/>
                <w:sz w:val="24"/>
                <w:szCs w:val="24"/>
              </w:rPr>
              <w:t>82 km</w:t>
            </w:r>
          </w:p>
        </w:tc>
        <w:tc>
          <w:tcPr>
            <w:tcW w:w="0" w:type="auto"/>
            <w:vAlign w:val="center"/>
            <w:hideMark/>
          </w:tcPr>
          <w:p w14:paraId="006AB907" w14:textId="77777777" w:rsidR="004D47B3" w:rsidRPr="004D47B3" w:rsidRDefault="004D47B3" w:rsidP="004D47B3">
            <w:pPr>
              <w:jc w:val="both"/>
              <w:rPr>
                <w:rFonts w:ascii="Verdana" w:hAnsi="Verdana"/>
                <w:sz w:val="24"/>
                <w:szCs w:val="24"/>
              </w:rPr>
            </w:pPr>
            <w:r w:rsidRPr="004D47B3">
              <w:rPr>
                <w:rFonts w:ascii="Verdana" w:hAnsi="Verdana"/>
                <w:sz w:val="24"/>
                <w:szCs w:val="24"/>
              </w:rPr>
              <w:t>—</w:t>
            </w:r>
          </w:p>
        </w:tc>
        <w:tc>
          <w:tcPr>
            <w:tcW w:w="0" w:type="auto"/>
            <w:vAlign w:val="center"/>
            <w:hideMark/>
          </w:tcPr>
          <w:p w14:paraId="1948F758" w14:textId="77777777" w:rsidR="004D47B3" w:rsidRPr="004D47B3" w:rsidRDefault="004D47B3" w:rsidP="004D47B3">
            <w:pPr>
              <w:jc w:val="both"/>
              <w:rPr>
                <w:rFonts w:ascii="Verdana" w:hAnsi="Verdana"/>
                <w:sz w:val="24"/>
                <w:szCs w:val="24"/>
              </w:rPr>
            </w:pPr>
            <w:r w:rsidRPr="004D47B3">
              <w:rPr>
                <w:rFonts w:ascii="Verdana" w:hAnsi="Verdana"/>
                <w:sz w:val="24"/>
                <w:szCs w:val="24"/>
              </w:rPr>
              <w:t>82 km</w:t>
            </w:r>
          </w:p>
        </w:tc>
        <w:tc>
          <w:tcPr>
            <w:tcW w:w="0" w:type="auto"/>
            <w:vAlign w:val="center"/>
            <w:hideMark/>
          </w:tcPr>
          <w:p w14:paraId="1F45AE7C" w14:textId="77777777" w:rsidR="004D47B3" w:rsidRPr="004D47B3" w:rsidRDefault="004D47B3" w:rsidP="004D47B3">
            <w:pPr>
              <w:jc w:val="both"/>
              <w:rPr>
                <w:rFonts w:ascii="Verdana" w:hAnsi="Verdana"/>
                <w:sz w:val="24"/>
                <w:szCs w:val="24"/>
              </w:rPr>
            </w:pPr>
            <w:r w:rsidRPr="004D47B3">
              <w:rPr>
                <w:rFonts w:ascii="Verdana" w:hAnsi="Verdana"/>
                <w:sz w:val="24"/>
                <w:szCs w:val="24"/>
              </w:rPr>
              <w:t>30 km</w:t>
            </w:r>
          </w:p>
        </w:tc>
        <w:tc>
          <w:tcPr>
            <w:tcW w:w="0" w:type="auto"/>
            <w:vAlign w:val="center"/>
            <w:hideMark/>
          </w:tcPr>
          <w:p w14:paraId="4F437CE9" w14:textId="77777777" w:rsidR="004D47B3" w:rsidRPr="004D47B3" w:rsidRDefault="004D47B3" w:rsidP="004D47B3">
            <w:pPr>
              <w:jc w:val="both"/>
              <w:rPr>
                <w:rFonts w:ascii="Verdana" w:hAnsi="Verdana"/>
                <w:sz w:val="24"/>
                <w:szCs w:val="24"/>
              </w:rPr>
            </w:pPr>
            <w:r w:rsidRPr="004D47B3">
              <w:rPr>
                <w:rFonts w:ascii="Verdana" w:hAnsi="Verdana"/>
                <w:sz w:val="24"/>
                <w:szCs w:val="24"/>
              </w:rPr>
              <w:t>—</w:t>
            </w:r>
          </w:p>
        </w:tc>
        <w:tc>
          <w:tcPr>
            <w:tcW w:w="0" w:type="auto"/>
            <w:vAlign w:val="center"/>
            <w:hideMark/>
          </w:tcPr>
          <w:p w14:paraId="6B1BDF21" w14:textId="77777777" w:rsidR="004D47B3" w:rsidRPr="004D47B3" w:rsidRDefault="004D47B3" w:rsidP="004D47B3">
            <w:pPr>
              <w:jc w:val="both"/>
              <w:rPr>
                <w:rFonts w:ascii="Verdana" w:hAnsi="Verdana"/>
                <w:sz w:val="24"/>
                <w:szCs w:val="24"/>
              </w:rPr>
            </w:pPr>
            <w:r w:rsidRPr="004D47B3">
              <w:rPr>
                <w:rFonts w:ascii="Verdana" w:hAnsi="Verdana"/>
                <w:sz w:val="24"/>
                <w:szCs w:val="24"/>
              </w:rPr>
              <w:t>30 km</w:t>
            </w:r>
          </w:p>
        </w:tc>
      </w:tr>
      <w:tr w:rsidR="004D47B3" w:rsidRPr="004D47B3" w14:paraId="59CDB75E" w14:textId="77777777" w:rsidTr="004D47B3">
        <w:trPr>
          <w:tblCellSpacing w:w="15" w:type="dxa"/>
        </w:trPr>
        <w:tc>
          <w:tcPr>
            <w:tcW w:w="0" w:type="auto"/>
            <w:vAlign w:val="center"/>
            <w:hideMark/>
          </w:tcPr>
          <w:p w14:paraId="26E217CC" w14:textId="77777777" w:rsidR="004D47B3" w:rsidRPr="004D47B3" w:rsidRDefault="004D47B3" w:rsidP="004D47B3">
            <w:pPr>
              <w:jc w:val="both"/>
              <w:rPr>
                <w:rFonts w:ascii="Verdana" w:hAnsi="Verdana"/>
                <w:sz w:val="24"/>
                <w:szCs w:val="24"/>
              </w:rPr>
            </w:pPr>
            <w:r w:rsidRPr="004D47B3">
              <w:rPr>
                <w:rFonts w:ascii="Verdana" w:hAnsi="Verdana"/>
                <w:sz w:val="24"/>
                <w:szCs w:val="24"/>
              </w:rPr>
              <w:t>Cu nu vétuste</w:t>
            </w:r>
          </w:p>
        </w:tc>
        <w:tc>
          <w:tcPr>
            <w:tcW w:w="0" w:type="auto"/>
            <w:vAlign w:val="center"/>
            <w:hideMark/>
          </w:tcPr>
          <w:p w14:paraId="4AB7A29C" w14:textId="77777777" w:rsidR="004D47B3" w:rsidRPr="004D47B3" w:rsidRDefault="004D47B3" w:rsidP="004D47B3">
            <w:pPr>
              <w:jc w:val="both"/>
              <w:rPr>
                <w:rFonts w:ascii="Verdana" w:hAnsi="Verdana"/>
                <w:sz w:val="24"/>
                <w:szCs w:val="24"/>
              </w:rPr>
            </w:pPr>
            <w:r w:rsidRPr="004D47B3">
              <w:rPr>
                <w:rFonts w:ascii="Verdana" w:hAnsi="Verdana"/>
                <w:sz w:val="24"/>
                <w:szCs w:val="24"/>
              </w:rPr>
              <w:t>20 km</w:t>
            </w:r>
          </w:p>
        </w:tc>
        <w:tc>
          <w:tcPr>
            <w:tcW w:w="0" w:type="auto"/>
            <w:vAlign w:val="center"/>
            <w:hideMark/>
          </w:tcPr>
          <w:p w14:paraId="01E608AD" w14:textId="77777777" w:rsidR="004D47B3" w:rsidRPr="004D47B3" w:rsidRDefault="004D47B3" w:rsidP="004D47B3">
            <w:pPr>
              <w:jc w:val="both"/>
              <w:rPr>
                <w:rFonts w:ascii="Verdana" w:hAnsi="Verdana"/>
                <w:sz w:val="24"/>
                <w:szCs w:val="24"/>
              </w:rPr>
            </w:pPr>
            <w:r w:rsidRPr="004D47B3">
              <w:rPr>
                <w:rFonts w:ascii="Verdana" w:hAnsi="Verdana"/>
                <w:sz w:val="24"/>
                <w:szCs w:val="24"/>
              </w:rPr>
              <w:t>—</w:t>
            </w:r>
          </w:p>
        </w:tc>
        <w:tc>
          <w:tcPr>
            <w:tcW w:w="0" w:type="auto"/>
            <w:vAlign w:val="center"/>
            <w:hideMark/>
          </w:tcPr>
          <w:p w14:paraId="70E78BB1" w14:textId="77777777" w:rsidR="004D47B3" w:rsidRPr="004D47B3" w:rsidRDefault="004D47B3" w:rsidP="004D47B3">
            <w:pPr>
              <w:jc w:val="both"/>
              <w:rPr>
                <w:rFonts w:ascii="Verdana" w:hAnsi="Verdana"/>
                <w:sz w:val="24"/>
                <w:szCs w:val="24"/>
              </w:rPr>
            </w:pPr>
            <w:r w:rsidRPr="004D47B3">
              <w:rPr>
                <w:rFonts w:ascii="Verdana" w:hAnsi="Verdana"/>
                <w:sz w:val="24"/>
                <w:szCs w:val="24"/>
              </w:rPr>
              <w:t>20 km</w:t>
            </w:r>
          </w:p>
        </w:tc>
        <w:tc>
          <w:tcPr>
            <w:tcW w:w="0" w:type="auto"/>
            <w:vAlign w:val="center"/>
            <w:hideMark/>
          </w:tcPr>
          <w:p w14:paraId="7DE70401" w14:textId="77777777" w:rsidR="004D47B3" w:rsidRPr="004D47B3" w:rsidRDefault="004D47B3" w:rsidP="004D47B3">
            <w:pPr>
              <w:jc w:val="both"/>
              <w:rPr>
                <w:rFonts w:ascii="Verdana" w:hAnsi="Verdana"/>
                <w:sz w:val="24"/>
                <w:szCs w:val="24"/>
              </w:rPr>
            </w:pPr>
            <w:r w:rsidRPr="004D47B3">
              <w:rPr>
                <w:rFonts w:ascii="Verdana" w:hAnsi="Verdana"/>
                <w:sz w:val="24"/>
                <w:szCs w:val="24"/>
              </w:rPr>
              <w:t>9 km</w:t>
            </w:r>
          </w:p>
        </w:tc>
        <w:tc>
          <w:tcPr>
            <w:tcW w:w="0" w:type="auto"/>
            <w:vAlign w:val="center"/>
            <w:hideMark/>
          </w:tcPr>
          <w:p w14:paraId="22919120" w14:textId="77777777" w:rsidR="004D47B3" w:rsidRPr="004D47B3" w:rsidRDefault="004D47B3" w:rsidP="004D47B3">
            <w:pPr>
              <w:jc w:val="both"/>
              <w:rPr>
                <w:rFonts w:ascii="Verdana" w:hAnsi="Verdana"/>
                <w:sz w:val="24"/>
                <w:szCs w:val="24"/>
              </w:rPr>
            </w:pPr>
            <w:r w:rsidRPr="004D47B3">
              <w:rPr>
                <w:rFonts w:ascii="Verdana" w:hAnsi="Verdana"/>
                <w:sz w:val="24"/>
                <w:szCs w:val="24"/>
              </w:rPr>
              <w:t>—</w:t>
            </w:r>
          </w:p>
        </w:tc>
        <w:tc>
          <w:tcPr>
            <w:tcW w:w="0" w:type="auto"/>
            <w:vAlign w:val="center"/>
            <w:hideMark/>
          </w:tcPr>
          <w:p w14:paraId="45794EB8" w14:textId="77777777" w:rsidR="004D47B3" w:rsidRPr="004D47B3" w:rsidRDefault="004D47B3" w:rsidP="004D47B3">
            <w:pPr>
              <w:jc w:val="both"/>
              <w:rPr>
                <w:rFonts w:ascii="Verdana" w:hAnsi="Verdana"/>
                <w:sz w:val="24"/>
                <w:szCs w:val="24"/>
              </w:rPr>
            </w:pPr>
            <w:r w:rsidRPr="004D47B3">
              <w:rPr>
                <w:rFonts w:ascii="Verdana" w:hAnsi="Verdana"/>
                <w:sz w:val="24"/>
                <w:szCs w:val="24"/>
              </w:rPr>
              <w:t>9 km</w:t>
            </w:r>
          </w:p>
        </w:tc>
      </w:tr>
      <w:tr w:rsidR="004D47B3" w:rsidRPr="004D47B3" w14:paraId="05C15104" w14:textId="77777777" w:rsidTr="004D47B3">
        <w:trPr>
          <w:tblCellSpacing w:w="15" w:type="dxa"/>
        </w:trPr>
        <w:tc>
          <w:tcPr>
            <w:tcW w:w="0" w:type="auto"/>
            <w:vAlign w:val="center"/>
            <w:hideMark/>
          </w:tcPr>
          <w:p w14:paraId="440078C6" w14:textId="77777777" w:rsidR="004D47B3" w:rsidRPr="004D47B3" w:rsidRDefault="004D47B3" w:rsidP="004D47B3">
            <w:pPr>
              <w:jc w:val="both"/>
              <w:rPr>
                <w:rFonts w:ascii="Verdana" w:hAnsi="Verdana"/>
                <w:sz w:val="24"/>
                <w:szCs w:val="24"/>
              </w:rPr>
            </w:pPr>
            <w:r w:rsidRPr="004D47B3">
              <w:rPr>
                <w:rFonts w:ascii="Verdana" w:hAnsi="Verdana"/>
                <w:sz w:val="24"/>
                <w:szCs w:val="24"/>
              </w:rPr>
              <w:t>Remplacement annuel</w:t>
            </w:r>
          </w:p>
        </w:tc>
        <w:tc>
          <w:tcPr>
            <w:tcW w:w="0" w:type="auto"/>
            <w:vAlign w:val="center"/>
            <w:hideMark/>
          </w:tcPr>
          <w:p w14:paraId="612625C9" w14:textId="77777777" w:rsidR="004D47B3" w:rsidRPr="004D47B3" w:rsidRDefault="004D47B3" w:rsidP="004D47B3">
            <w:pPr>
              <w:jc w:val="both"/>
              <w:rPr>
                <w:rFonts w:ascii="Verdana" w:hAnsi="Verdana"/>
                <w:sz w:val="24"/>
                <w:szCs w:val="24"/>
              </w:rPr>
            </w:pPr>
            <w:r w:rsidRPr="004D47B3">
              <w:rPr>
                <w:rFonts w:ascii="Verdana" w:hAnsi="Verdana"/>
                <w:sz w:val="24"/>
                <w:szCs w:val="24"/>
              </w:rPr>
              <w:t>2 km/an</w:t>
            </w:r>
          </w:p>
        </w:tc>
        <w:tc>
          <w:tcPr>
            <w:tcW w:w="0" w:type="auto"/>
            <w:vAlign w:val="center"/>
            <w:hideMark/>
          </w:tcPr>
          <w:p w14:paraId="0F847267" w14:textId="77777777" w:rsidR="004D47B3" w:rsidRPr="004D47B3" w:rsidRDefault="004D47B3" w:rsidP="004D47B3">
            <w:pPr>
              <w:jc w:val="both"/>
              <w:rPr>
                <w:rFonts w:ascii="Verdana" w:hAnsi="Verdana"/>
                <w:sz w:val="24"/>
                <w:szCs w:val="24"/>
              </w:rPr>
            </w:pPr>
            <w:r w:rsidRPr="004D47B3">
              <w:rPr>
                <w:rFonts w:ascii="Verdana" w:hAnsi="Verdana"/>
                <w:sz w:val="24"/>
                <w:szCs w:val="24"/>
              </w:rPr>
              <w:t>—</w:t>
            </w:r>
          </w:p>
        </w:tc>
        <w:tc>
          <w:tcPr>
            <w:tcW w:w="0" w:type="auto"/>
            <w:vAlign w:val="center"/>
            <w:hideMark/>
          </w:tcPr>
          <w:p w14:paraId="67259FD9" w14:textId="77777777" w:rsidR="004D47B3" w:rsidRPr="004D47B3" w:rsidRDefault="004D47B3" w:rsidP="004D47B3">
            <w:pPr>
              <w:jc w:val="both"/>
              <w:rPr>
                <w:rFonts w:ascii="Verdana" w:hAnsi="Verdana"/>
                <w:sz w:val="24"/>
                <w:szCs w:val="24"/>
              </w:rPr>
            </w:pPr>
            <w:r w:rsidRPr="004D47B3">
              <w:rPr>
                <w:rFonts w:ascii="Verdana" w:hAnsi="Verdana"/>
                <w:sz w:val="24"/>
                <w:szCs w:val="24"/>
              </w:rPr>
              <w:t>—</w:t>
            </w:r>
          </w:p>
        </w:tc>
        <w:tc>
          <w:tcPr>
            <w:tcW w:w="0" w:type="auto"/>
            <w:vAlign w:val="center"/>
            <w:hideMark/>
          </w:tcPr>
          <w:p w14:paraId="29723E25" w14:textId="77777777" w:rsidR="004D47B3" w:rsidRPr="004D47B3" w:rsidRDefault="004D47B3" w:rsidP="004D47B3">
            <w:pPr>
              <w:jc w:val="both"/>
              <w:rPr>
                <w:rFonts w:ascii="Verdana" w:hAnsi="Verdana"/>
                <w:sz w:val="24"/>
                <w:szCs w:val="24"/>
              </w:rPr>
            </w:pPr>
            <w:r w:rsidRPr="004D47B3">
              <w:rPr>
                <w:rFonts w:ascii="Verdana" w:hAnsi="Verdana"/>
                <w:sz w:val="24"/>
                <w:szCs w:val="24"/>
              </w:rPr>
              <w:t>2 km/an</w:t>
            </w:r>
          </w:p>
        </w:tc>
        <w:tc>
          <w:tcPr>
            <w:tcW w:w="0" w:type="auto"/>
            <w:vAlign w:val="center"/>
            <w:hideMark/>
          </w:tcPr>
          <w:p w14:paraId="1EC6E404" w14:textId="77777777" w:rsidR="004D47B3" w:rsidRPr="004D47B3" w:rsidRDefault="004D47B3" w:rsidP="004D47B3">
            <w:pPr>
              <w:jc w:val="both"/>
              <w:rPr>
                <w:rFonts w:ascii="Verdana" w:hAnsi="Verdana"/>
                <w:sz w:val="24"/>
                <w:szCs w:val="24"/>
              </w:rPr>
            </w:pPr>
            <w:r w:rsidRPr="004D47B3">
              <w:rPr>
                <w:rFonts w:ascii="Verdana" w:hAnsi="Verdana"/>
                <w:sz w:val="24"/>
                <w:szCs w:val="24"/>
              </w:rPr>
              <w:t>—</w:t>
            </w:r>
          </w:p>
        </w:tc>
        <w:tc>
          <w:tcPr>
            <w:tcW w:w="0" w:type="auto"/>
            <w:vAlign w:val="center"/>
            <w:hideMark/>
          </w:tcPr>
          <w:p w14:paraId="4F26275F" w14:textId="77777777" w:rsidR="004D47B3" w:rsidRPr="004D47B3" w:rsidRDefault="004D47B3" w:rsidP="004D47B3">
            <w:pPr>
              <w:jc w:val="both"/>
              <w:rPr>
                <w:rFonts w:ascii="Verdana" w:hAnsi="Verdana"/>
                <w:sz w:val="24"/>
                <w:szCs w:val="24"/>
              </w:rPr>
            </w:pPr>
            <w:r w:rsidRPr="004D47B3">
              <w:rPr>
                <w:rFonts w:ascii="Verdana" w:hAnsi="Verdana"/>
                <w:sz w:val="24"/>
                <w:szCs w:val="24"/>
              </w:rPr>
              <w:t>—</w:t>
            </w:r>
          </w:p>
        </w:tc>
      </w:tr>
    </w:tbl>
    <w:p w14:paraId="644DB056"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Le </w:t>
      </w:r>
      <w:r w:rsidRPr="004D47B3">
        <w:rPr>
          <w:rFonts w:ascii="Verdana" w:hAnsi="Verdana"/>
          <w:b/>
          <w:bCs/>
          <w:sz w:val="24"/>
          <w:szCs w:val="24"/>
        </w:rPr>
        <w:t>taux de remplacement annuel</w:t>
      </w:r>
      <w:r w:rsidRPr="004D47B3">
        <w:rPr>
          <w:rFonts w:ascii="Verdana" w:hAnsi="Verdana"/>
          <w:sz w:val="24"/>
          <w:szCs w:val="24"/>
        </w:rPr>
        <w:t xml:space="preserve"> est actuellement de 2 km par an en BT et en MT. À ce rythme, la durée totale d’assainissement est estimée à environ </w:t>
      </w:r>
      <w:r w:rsidRPr="004D47B3">
        <w:rPr>
          <w:rFonts w:ascii="Verdana" w:hAnsi="Verdana"/>
          <w:b/>
          <w:bCs/>
          <w:sz w:val="24"/>
          <w:szCs w:val="24"/>
        </w:rPr>
        <w:t>___ années</w:t>
      </w:r>
      <w:r w:rsidRPr="004D47B3">
        <w:rPr>
          <w:rFonts w:ascii="Verdana" w:hAnsi="Verdana"/>
          <w:sz w:val="24"/>
          <w:szCs w:val="24"/>
        </w:rPr>
        <w:t xml:space="preserve"> pour la BT et </w:t>
      </w:r>
      <w:r w:rsidRPr="004D47B3">
        <w:rPr>
          <w:rFonts w:ascii="Verdana" w:hAnsi="Verdana"/>
          <w:b/>
          <w:bCs/>
          <w:sz w:val="24"/>
          <w:szCs w:val="24"/>
        </w:rPr>
        <w:t>___ années</w:t>
      </w:r>
      <w:r w:rsidRPr="004D47B3">
        <w:rPr>
          <w:rFonts w:ascii="Verdana" w:hAnsi="Verdana"/>
          <w:sz w:val="24"/>
          <w:szCs w:val="24"/>
        </w:rPr>
        <w:t xml:space="preserve"> pour la MT. Cette stratégie est régulièrement réévaluée en fonction de l’évolution des incidents sur les tronçons concernés.</w:t>
      </w:r>
    </w:p>
    <w:p w14:paraId="1372C1B1"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Il convient toutefois de </w:t>
      </w:r>
      <w:r w:rsidRPr="004D47B3">
        <w:rPr>
          <w:rFonts w:ascii="Verdana" w:hAnsi="Verdana"/>
          <w:b/>
          <w:bCs/>
          <w:sz w:val="24"/>
          <w:szCs w:val="24"/>
        </w:rPr>
        <w:t>différencier les tronçons réellement vétustes</w:t>
      </w:r>
      <w:r w:rsidRPr="004D47B3">
        <w:rPr>
          <w:rFonts w:ascii="Verdana" w:hAnsi="Verdana"/>
          <w:sz w:val="24"/>
          <w:szCs w:val="24"/>
        </w:rPr>
        <w:t xml:space="preserve"> (conducteurs usés, attaches fragilisées, traversées d’arbres) de ceux encore en bon état, notamment lorsqu’ils ont un </w:t>
      </w:r>
      <w:r w:rsidRPr="004D47B3">
        <w:rPr>
          <w:rFonts w:ascii="Verdana" w:hAnsi="Verdana"/>
          <w:b/>
          <w:bCs/>
          <w:sz w:val="24"/>
          <w:szCs w:val="24"/>
        </w:rPr>
        <w:t>diamètre suffisant</w:t>
      </w:r>
      <w:r w:rsidRPr="004D47B3">
        <w:rPr>
          <w:rFonts w:ascii="Verdana" w:hAnsi="Verdana"/>
          <w:sz w:val="24"/>
          <w:szCs w:val="24"/>
        </w:rPr>
        <w:t xml:space="preserve"> pour répondre aux besoins actuels sans présenter de risques techniques majeurs. Ces derniers ne sont pas considérés comme prioritaires, sauf si des travaux connexes (sécurisation, enfouissement ou réaménagement communal) sont envisagés.</w:t>
      </w:r>
    </w:p>
    <w:p w14:paraId="347D4CBD" w14:textId="77777777" w:rsidR="004D47B3" w:rsidRPr="004D47B3" w:rsidRDefault="004D47B3" w:rsidP="004D47B3">
      <w:pPr>
        <w:jc w:val="both"/>
        <w:rPr>
          <w:rFonts w:ascii="Verdana" w:hAnsi="Verdana"/>
          <w:b/>
          <w:bCs/>
          <w:sz w:val="24"/>
          <w:szCs w:val="24"/>
        </w:rPr>
      </w:pPr>
      <w:r w:rsidRPr="004D47B3">
        <w:rPr>
          <w:rFonts w:ascii="Verdana" w:hAnsi="Verdana"/>
          <w:b/>
          <w:bCs/>
          <w:sz w:val="24"/>
          <w:szCs w:val="24"/>
        </w:rPr>
        <w:t>c) Remarques générales sur la répartition géographique et l’état du réseau</w:t>
      </w:r>
    </w:p>
    <w:p w14:paraId="45F5B34B"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En basse tension, le réseau reste majoritairement </w:t>
      </w:r>
      <w:r w:rsidRPr="004D47B3">
        <w:rPr>
          <w:rFonts w:ascii="Verdana" w:hAnsi="Verdana"/>
          <w:b/>
          <w:bCs/>
          <w:sz w:val="24"/>
          <w:szCs w:val="24"/>
        </w:rPr>
        <w:t>aérien</w:t>
      </w:r>
      <w:r w:rsidRPr="004D47B3">
        <w:rPr>
          <w:rFonts w:ascii="Verdana" w:hAnsi="Verdana"/>
          <w:sz w:val="24"/>
          <w:szCs w:val="24"/>
        </w:rPr>
        <w:t xml:space="preserve">, sauf dans les zones de densification urbaine ou les </w:t>
      </w:r>
      <w:r w:rsidRPr="004D47B3">
        <w:rPr>
          <w:rFonts w:ascii="Verdana" w:hAnsi="Verdana"/>
          <w:b/>
          <w:bCs/>
          <w:sz w:val="24"/>
          <w:szCs w:val="24"/>
        </w:rPr>
        <w:t>nouveaux lotissements</w:t>
      </w:r>
      <w:r w:rsidRPr="004D47B3">
        <w:rPr>
          <w:rFonts w:ascii="Verdana" w:hAnsi="Verdana"/>
          <w:sz w:val="24"/>
          <w:szCs w:val="24"/>
        </w:rPr>
        <w:t xml:space="preserve">, où le réseau est systématiquement enterré. Dans certaines communes, des tronçons ont également été enfouis dans le cadre de </w:t>
      </w:r>
      <w:r w:rsidRPr="004D47B3">
        <w:rPr>
          <w:rFonts w:ascii="Verdana" w:hAnsi="Verdana"/>
          <w:b/>
          <w:bCs/>
          <w:sz w:val="24"/>
          <w:szCs w:val="24"/>
        </w:rPr>
        <w:t>projets d’embellissement urbain</w:t>
      </w:r>
      <w:r w:rsidRPr="004D47B3">
        <w:rPr>
          <w:rFonts w:ascii="Verdana" w:hAnsi="Verdana"/>
          <w:sz w:val="24"/>
          <w:szCs w:val="24"/>
        </w:rPr>
        <w:t xml:space="preserve"> tels que </w:t>
      </w:r>
      <w:r w:rsidRPr="004D47B3">
        <w:rPr>
          <w:rFonts w:ascii="Verdana" w:hAnsi="Verdana"/>
          <w:b/>
          <w:bCs/>
          <w:sz w:val="24"/>
          <w:szCs w:val="24"/>
        </w:rPr>
        <w:t>le plan Épure</w:t>
      </w:r>
      <w:r w:rsidRPr="004D47B3">
        <w:rPr>
          <w:rFonts w:ascii="Verdana" w:hAnsi="Verdana"/>
          <w:sz w:val="24"/>
          <w:szCs w:val="24"/>
        </w:rPr>
        <w:t xml:space="preserve"> ou </w:t>
      </w:r>
      <w:r w:rsidRPr="004D47B3">
        <w:rPr>
          <w:rFonts w:ascii="Verdana" w:hAnsi="Verdana"/>
          <w:b/>
          <w:bCs/>
          <w:sz w:val="24"/>
          <w:szCs w:val="24"/>
        </w:rPr>
        <w:t>le plan Lumière</w:t>
      </w:r>
      <w:r w:rsidRPr="004D47B3">
        <w:rPr>
          <w:rFonts w:ascii="Verdana" w:hAnsi="Verdana"/>
          <w:sz w:val="24"/>
          <w:szCs w:val="24"/>
        </w:rPr>
        <w:t>, à la demande des autorités locales.</w:t>
      </w:r>
    </w:p>
    <w:p w14:paraId="7DEC2CC5"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Il reste difficile d’établir une corrélation claire entre réseau aérien et fiabilité : dans de nombreux cas, les lignes aériennes BT se montrent robustes et faciles à entretenir, ce qui permet un </w:t>
      </w:r>
      <w:r w:rsidRPr="004D47B3">
        <w:rPr>
          <w:rFonts w:ascii="Verdana" w:hAnsi="Verdana"/>
          <w:b/>
          <w:bCs/>
          <w:sz w:val="24"/>
          <w:szCs w:val="24"/>
        </w:rPr>
        <w:t>rétablissement rapide en cas d’incident</w:t>
      </w:r>
      <w:r w:rsidRPr="004D47B3">
        <w:rPr>
          <w:rFonts w:ascii="Verdana" w:hAnsi="Verdana"/>
          <w:sz w:val="24"/>
          <w:szCs w:val="24"/>
        </w:rPr>
        <w:t>. En revanche, certains réseaux souterrains anciens (par ex. câbles papier plomb) peuvent s’avérer plus sensibles aux défauts récurrents.</w:t>
      </w:r>
    </w:p>
    <w:p w14:paraId="687E6A50"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En moyenne tension, environ </w:t>
      </w:r>
      <w:r w:rsidRPr="004D47B3">
        <w:rPr>
          <w:rFonts w:ascii="Verdana" w:hAnsi="Verdana"/>
          <w:b/>
          <w:bCs/>
          <w:sz w:val="24"/>
          <w:szCs w:val="24"/>
        </w:rPr>
        <w:t>72 % du réseau est souterrain</w:t>
      </w:r>
      <w:r w:rsidRPr="004D47B3">
        <w:rPr>
          <w:rFonts w:ascii="Verdana" w:hAnsi="Verdana"/>
          <w:sz w:val="24"/>
          <w:szCs w:val="24"/>
        </w:rPr>
        <w:t xml:space="preserve">, mais cette moyenne masque de </w:t>
      </w:r>
      <w:r w:rsidRPr="004D47B3">
        <w:rPr>
          <w:rFonts w:ascii="Verdana" w:hAnsi="Verdana"/>
          <w:b/>
          <w:bCs/>
          <w:sz w:val="24"/>
          <w:szCs w:val="24"/>
        </w:rPr>
        <w:t>fortes disparités entre les communes</w:t>
      </w:r>
      <w:r w:rsidRPr="004D47B3">
        <w:rPr>
          <w:rFonts w:ascii="Verdana" w:hAnsi="Verdana"/>
          <w:sz w:val="24"/>
          <w:szCs w:val="24"/>
        </w:rPr>
        <w:t>. Par exemple :</w:t>
      </w:r>
    </w:p>
    <w:p w14:paraId="54C17CDE" w14:textId="77777777" w:rsidR="004D47B3" w:rsidRPr="004D47B3" w:rsidRDefault="004D47B3" w:rsidP="004D47B3">
      <w:pPr>
        <w:numPr>
          <w:ilvl w:val="0"/>
          <w:numId w:val="36"/>
        </w:numPr>
        <w:jc w:val="both"/>
        <w:rPr>
          <w:rFonts w:ascii="Verdana" w:hAnsi="Verdana"/>
          <w:sz w:val="24"/>
          <w:szCs w:val="24"/>
        </w:rPr>
      </w:pPr>
      <w:r w:rsidRPr="004D47B3">
        <w:rPr>
          <w:rFonts w:ascii="Verdana" w:hAnsi="Verdana"/>
          <w:sz w:val="24"/>
          <w:szCs w:val="24"/>
        </w:rPr>
        <w:lastRenderedPageBreak/>
        <w:t xml:space="preserve">À </w:t>
      </w:r>
      <w:r w:rsidRPr="004D47B3">
        <w:rPr>
          <w:rFonts w:ascii="Verdana" w:hAnsi="Verdana"/>
          <w:b/>
          <w:bCs/>
          <w:sz w:val="24"/>
          <w:szCs w:val="24"/>
        </w:rPr>
        <w:t>Rumes</w:t>
      </w:r>
      <w:r w:rsidRPr="004D47B3">
        <w:rPr>
          <w:rFonts w:ascii="Verdana" w:hAnsi="Verdana"/>
          <w:sz w:val="24"/>
          <w:szCs w:val="24"/>
        </w:rPr>
        <w:t xml:space="preserve">, l’ensemble des alimentations est </w:t>
      </w:r>
      <w:r w:rsidRPr="004D47B3">
        <w:rPr>
          <w:rFonts w:ascii="Verdana" w:hAnsi="Verdana"/>
          <w:b/>
          <w:bCs/>
          <w:sz w:val="24"/>
          <w:szCs w:val="24"/>
        </w:rPr>
        <w:t>enterré</w:t>
      </w:r>
      <w:r w:rsidRPr="004D47B3">
        <w:rPr>
          <w:rFonts w:ascii="Verdana" w:hAnsi="Verdana"/>
          <w:sz w:val="24"/>
          <w:szCs w:val="24"/>
        </w:rPr>
        <w:t xml:space="preserve">, ce qui se traduit par </w:t>
      </w:r>
      <w:r w:rsidRPr="004D47B3">
        <w:rPr>
          <w:rFonts w:ascii="Verdana" w:hAnsi="Verdana"/>
          <w:b/>
          <w:bCs/>
          <w:sz w:val="24"/>
          <w:szCs w:val="24"/>
        </w:rPr>
        <w:t>un nombre très faible d’incidents</w:t>
      </w:r>
      <w:r w:rsidRPr="004D47B3">
        <w:rPr>
          <w:rFonts w:ascii="Verdana" w:hAnsi="Verdana"/>
          <w:sz w:val="24"/>
          <w:szCs w:val="24"/>
        </w:rPr>
        <w:t>.</w:t>
      </w:r>
    </w:p>
    <w:p w14:paraId="1DE02984" w14:textId="77777777" w:rsidR="004D47B3" w:rsidRPr="004D47B3" w:rsidRDefault="004D47B3" w:rsidP="004D47B3">
      <w:pPr>
        <w:numPr>
          <w:ilvl w:val="0"/>
          <w:numId w:val="36"/>
        </w:numPr>
        <w:jc w:val="both"/>
        <w:rPr>
          <w:rFonts w:ascii="Verdana" w:hAnsi="Verdana"/>
          <w:sz w:val="24"/>
          <w:szCs w:val="24"/>
        </w:rPr>
      </w:pPr>
      <w:r w:rsidRPr="004D47B3">
        <w:rPr>
          <w:rFonts w:ascii="Verdana" w:hAnsi="Verdana"/>
          <w:sz w:val="24"/>
          <w:szCs w:val="24"/>
        </w:rPr>
        <w:t xml:space="preserve">À l’inverse, à </w:t>
      </w:r>
      <w:r w:rsidRPr="004D47B3">
        <w:rPr>
          <w:rFonts w:ascii="Verdana" w:hAnsi="Verdana"/>
          <w:b/>
          <w:bCs/>
          <w:sz w:val="24"/>
          <w:szCs w:val="24"/>
        </w:rPr>
        <w:t>Andenne</w:t>
      </w:r>
      <w:r w:rsidRPr="004D47B3">
        <w:rPr>
          <w:rFonts w:ascii="Verdana" w:hAnsi="Verdana"/>
          <w:sz w:val="24"/>
          <w:szCs w:val="24"/>
        </w:rPr>
        <w:t xml:space="preserve">, où environ </w:t>
      </w:r>
      <w:r w:rsidRPr="004D47B3">
        <w:rPr>
          <w:rFonts w:ascii="Verdana" w:hAnsi="Verdana"/>
          <w:b/>
          <w:bCs/>
          <w:sz w:val="24"/>
          <w:szCs w:val="24"/>
        </w:rPr>
        <w:t>16 % du réseau reste aérien</w:t>
      </w:r>
      <w:r w:rsidRPr="004D47B3">
        <w:rPr>
          <w:rFonts w:ascii="Verdana" w:hAnsi="Verdana"/>
          <w:sz w:val="24"/>
          <w:szCs w:val="24"/>
        </w:rPr>
        <w:t xml:space="preserve">, les coupures en MT sont plus fréquentes, en lien avec les </w:t>
      </w:r>
      <w:r w:rsidRPr="004D47B3">
        <w:rPr>
          <w:rFonts w:ascii="Verdana" w:hAnsi="Verdana"/>
          <w:b/>
          <w:bCs/>
          <w:sz w:val="24"/>
          <w:szCs w:val="24"/>
        </w:rPr>
        <w:t>intempéries</w:t>
      </w:r>
      <w:r w:rsidRPr="004D47B3">
        <w:rPr>
          <w:rFonts w:ascii="Verdana" w:hAnsi="Verdana"/>
          <w:sz w:val="24"/>
          <w:szCs w:val="24"/>
        </w:rPr>
        <w:t xml:space="preserve"> et le vieillissement des infrastructures.</w:t>
      </w:r>
    </w:p>
    <w:p w14:paraId="3BA570C4"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Certaines zones restent également affectées par la présence de </w:t>
      </w:r>
      <w:r w:rsidRPr="004D47B3">
        <w:rPr>
          <w:rFonts w:ascii="Verdana" w:hAnsi="Verdana"/>
          <w:b/>
          <w:bCs/>
          <w:sz w:val="24"/>
          <w:szCs w:val="24"/>
        </w:rPr>
        <w:t>câbles en papier plomb</w:t>
      </w:r>
      <w:r w:rsidRPr="004D47B3">
        <w:rPr>
          <w:rFonts w:ascii="Verdana" w:hAnsi="Verdana"/>
          <w:sz w:val="24"/>
          <w:szCs w:val="24"/>
        </w:rPr>
        <w:t xml:space="preserve"> posés dans les années 1980, notamment à Andenne. Des </w:t>
      </w:r>
      <w:r w:rsidRPr="004D47B3">
        <w:rPr>
          <w:rFonts w:ascii="Verdana" w:hAnsi="Verdana"/>
          <w:b/>
          <w:bCs/>
          <w:sz w:val="24"/>
          <w:szCs w:val="24"/>
        </w:rPr>
        <w:t>déclenchements répétés</w:t>
      </w:r>
      <w:r w:rsidRPr="004D47B3">
        <w:rPr>
          <w:rFonts w:ascii="Verdana" w:hAnsi="Verdana"/>
          <w:sz w:val="24"/>
          <w:szCs w:val="24"/>
        </w:rPr>
        <w:t xml:space="preserve"> ont été observés sur les feeders principaux, incitant à un remplacement progressif par des câbles </w:t>
      </w:r>
      <w:r w:rsidRPr="004D47B3">
        <w:rPr>
          <w:rFonts w:ascii="Verdana" w:hAnsi="Verdana"/>
          <w:b/>
          <w:bCs/>
          <w:sz w:val="24"/>
          <w:szCs w:val="24"/>
        </w:rPr>
        <w:t>PRC</w:t>
      </w:r>
      <w:r w:rsidRPr="004D47B3">
        <w:rPr>
          <w:rFonts w:ascii="Verdana" w:hAnsi="Verdana"/>
          <w:sz w:val="24"/>
          <w:szCs w:val="24"/>
        </w:rPr>
        <w:t>, plus résistants et adaptés à l’environnement urbain.</w:t>
      </w:r>
    </w:p>
    <w:p w14:paraId="54E3D170" w14:textId="77777777" w:rsidR="004D47B3" w:rsidRPr="004D47B3" w:rsidRDefault="004D47B3" w:rsidP="004D47B3">
      <w:pPr>
        <w:jc w:val="both"/>
        <w:rPr>
          <w:rFonts w:ascii="Verdana" w:hAnsi="Verdana"/>
          <w:sz w:val="24"/>
          <w:szCs w:val="24"/>
        </w:rPr>
      </w:pPr>
      <w:r w:rsidRPr="004D47B3">
        <w:rPr>
          <w:rFonts w:ascii="Verdana" w:hAnsi="Verdana"/>
          <w:sz w:val="24"/>
          <w:szCs w:val="24"/>
        </w:rPr>
        <w:t xml:space="preserve">Dans d'autres communes comme </w:t>
      </w:r>
      <w:proofErr w:type="spellStart"/>
      <w:r w:rsidRPr="004D47B3">
        <w:rPr>
          <w:rFonts w:ascii="Verdana" w:hAnsi="Verdana"/>
          <w:b/>
          <w:bCs/>
          <w:sz w:val="24"/>
          <w:szCs w:val="24"/>
        </w:rPr>
        <w:t>Ohey</w:t>
      </w:r>
      <w:proofErr w:type="spellEnd"/>
      <w:r w:rsidRPr="004D47B3">
        <w:rPr>
          <w:rFonts w:ascii="Verdana" w:hAnsi="Verdana"/>
          <w:sz w:val="24"/>
          <w:szCs w:val="24"/>
        </w:rPr>
        <w:t xml:space="preserve"> et </w:t>
      </w:r>
      <w:proofErr w:type="spellStart"/>
      <w:r w:rsidRPr="004D47B3">
        <w:rPr>
          <w:rFonts w:ascii="Verdana" w:hAnsi="Verdana"/>
          <w:b/>
          <w:bCs/>
          <w:sz w:val="24"/>
          <w:szCs w:val="24"/>
        </w:rPr>
        <w:t>Viroinval</w:t>
      </w:r>
      <w:proofErr w:type="spellEnd"/>
      <w:r w:rsidRPr="004D47B3">
        <w:rPr>
          <w:rFonts w:ascii="Verdana" w:hAnsi="Verdana"/>
          <w:sz w:val="24"/>
          <w:szCs w:val="24"/>
        </w:rPr>
        <w:t>, le taux de vétusté est quasiment nul, soit grâce à l'</w:t>
      </w:r>
      <w:r w:rsidRPr="004D47B3">
        <w:rPr>
          <w:rFonts w:ascii="Verdana" w:hAnsi="Verdana"/>
          <w:b/>
          <w:bCs/>
          <w:sz w:val="24"/>
          <w:szCs w:val="24"/>
        </w:rPr>
        <w:t>absence de réseau souterrain</w:t>
      </w:r>
      <w:r w:rsidRPr="004D47B3">
        <w:rPr>
          <w:rFonts w:ascii="Verdana" w:hAnsi="Verdana"/>
          <w:sz w:val="24"/>
          <w:szCs w:val="24"/>
        </w:rPr>
        <w:t xml:space="preserve">, soit à des </w:t>
      </w:r>
      <w:r w:rsidRPr="004D47B3">
        <w:rPr>
          <w:rFonts w:ascii="Verdana" w:hAnsi="Verdana"/>
          <w:b/>
          <w:bCs/>
          <w:sz w:val="24"/>
          <w:szCs w:val="24"/>
        </w:rPr>
        <w:t>campagnes de rénovation complètes</w:t>
      </w:r>
      <w:r w:rsidRPr="004D47B3">
        <w:rPr>
          <w:rFonts w:ascii="Verdana" w:hAnsi="Verdana"/>
          <w:sz w:val="24"/>
          <w:szCs w:val="24"/>
        </w:rPr>
        <w:t xml:space="preserve">, comme à </w:t>
      </w:r>
      <w:r w:rsidRPr="004D47B3">
        <w:rPr>
          <w:rFonts w:ascii="Verdana" w:hAnsi="Verdana"/>
          <w:b/>
          <w:bCs/>
          <w:sz w:val="24"/>
          <w:szCs w:val="24"/>
        </w:rPr>
        <w:t>Rumes</w:t>
      </w:r>
      <w:r w:rsidRPr="004D47B3">
        <w:rPr>
          <w:rFonts w:ascii="Verdana" w:hAnsi="Verdana"/>
          <w:sz w:val="24"/>
          <w:szCs w:val="24"/>
        </w:rPr>
        <w:t>, dont le réseau a été entièrement refait il y a une quinzaine d’années.</w:t>
      </w:r>
    </w:p>
    <w:p w14:paraId="6DEC8819" w14:textId="77777777" w:rsidR="004D47B3" w:rsidRDefault="004D47B3" w:rsidP="001F293C">
      <w:pPr>
        <w:jc w:val="both"/>
        <w:rPr>
          <w:rFonts w:ascii="Verdana" w:hAnsi="Verdana"/>
        </w:rPr>
      </w:pPr>
    </w:p>
    <w:p w14:paraId="384DFC1B" w14:textId="77777777" w:rsidR="00E868C4" w:rsidRDefault="00E868C4" w:rsidP="006438A3">
      <w:pPr>
        <w:pStyle w:val="AIEG2"/>
        <w:numPr>
          <w:ilvl w:val="0"/>
          <w:numId w:val="0"/>
        </w:numPr>
        <w:ind w:left="360"/>
      </w:pPr>
    </w:p>
    <w:p w14:paraId="5D177C92" w14:textId="77777777" w:rsidR="008C73CB" w:rsidRDefault="008C73CB">
      <w:pPr>
        <w:rPr>
          <w:rFonts w:ascii="Verdana" w:hAnsi="Verdana"/>
        </w:rPr>
      </w:pPr>
      <w:r>
        <w:rPr>
          <w:rFonts w:ascii="Verdana" w:hAnsi="Verdana"/>
        </w:rPr>
        <w:br w:type="page"/>
      </w:r>
    </w:p>
    <w:p w14:paraId="6912C3BB" w14:textId="7151094A" w:rsidR="009C0E95" w:rsidRDefault="009C0E95" w:rsidP="006B2B09">
      <w:pPr>
        <w:pStyle w:val="AIEG3"/>
      </w:pPr>
      <w:proofErr w:type="gramStart"/>
      <w:r>
        <w:lastRenderedPageBreak/>
        <w:t>interventions</w:t>
      </w:r>
      <w:proofErr w:type="gramEnd"/>
      <w:r>
        <w:t xml:space="preserve"> pour raisons de </w:t>
      </w:r>
      <w:proofErr w:type="spellStart"/>
      <w:r>
        <w:t>securité</w:t>
      </w:r>
      <w:proofErr w:type="spellEnd"/>
    </w:p>
    <w:p w14:paraId="0DDA3437" w14:textId="2AE3BB82" w:rsidR="00CD2811" w:rsidRPr="00CD2811" w:rsidRDefault="009C0E95" w:rsidP="00CD2811">
      <w:pPr>
        <w:pStyle w:val="aieg4"/>
        <w:rPr>
          <w:b w:val="0"/>
        </w:rPr>
      </w:pPr>
      <w:proofErr w:type="gramStart"/>
      <w:r>
        <w:t>sécurité</w:t>
      </w:r>
      <w:proofErr w:type="gramEnd"/>
      <w:r>
        <w:t xml:space="preserve"> générale</w:t>
      </w:r>
    </w:p>
    <w:p w14:paraId="716567F2" w14:textId="77777777" w:rsidR="00CD2811" w:rsidRPr="00CD2811" w:rsidRDefault="00CD2811" w:rsidP="00CD2811">
      <w:pPr>
        <w:spacing w:after="240" w:line="240" w:lineRule="auto"/>
        <w:jc w:val="both"/>
        <w:rPr>
          <w:rFonts w:ascii="Verdana" w:hAnsi="Verdana"/>
          <w:sz w:val="24"/>
          <w:szCs w:val="24"/>
        </w:rPr>
      </w:pPr>
      <w:r w:rsidRPr="00CD2811">
        <w:rPr>
          <w:rFonts w:ascii="Verdana" w:hAnsi="Verdana"/>
          <w:sz w:val="24"/>
          <w:szCs w:val="24"/>
        </w:rPr>
        <w:t xml:space="preserve">L’AIEG accorde une attention prioritaire aux questions de </w:t>
      </w:r>
      <w:r w:rsidRPr="00CD2811">
        <w:rPr>
          <w:rFonts w:ascii="Verdana" w:hAnsi="Verdana"/>
          <w:b/>
          <w:bCs/>
          <w:sz w:val="24"/>
          <w:szCs w:val="24"/>
        </w:rPr>
        <w:t>sécurité</w:t>
      </w:r>
      <w:r w:rsidRPr="00CD2811">
        <w:rPr>
          <w:rFonts w:ascii="Verdana" w:hAnsi="Verdana"/>
          <w:sz w:val="24"/>
          <w:szCs w:val="24"/>
        </w:rPr>
        <w:t xml:space="preserve">, tant pour le </w:t>
      </w:r>
      <w:r w:rsidRPr="00CD2811">
        <w:rPr>
          <w:rFonts w:ascii="Verdana" w:hAnsi="Verdana"/>
          <w:b/>
          <w:bCs/>
          <w:sz w:val="24"/>
          <w:szCs w:val="24"/>
        </w:rPr>
        <w:t>public</w:t>
      </w:r>
      <w:r w:rsidRPr="00CD2811">
        <w:rPr>
          <w:rFonts w:ascii="Verdana" w:hAnsi="Verdana"/>
          <w:sz w:val="24"/>
          <w:szCs w:val="24"/>
        </w:rPr>
        <w:t xml:space="preserve"> que pour son </w:t>
      </w:r>
      <w:r w:rsidRPr="00CD2811">
        <w:rPr>
          <w:rFonts w:ascii="Verdana" w:hAnsi="Verdana"/>
          <w:b/>
          <w:bCs/>
          <w:sz w:val="24"/>
          <w:szCs w:val="24"/>
        </w:rPr>
        <w:t>personnel technique</w:t>
      </w:r>
      <w:r w:rsidRPr="00CD2811">
        <w:rPr>
          <w:rFonts w:ascii="Verdana" w:hAnsi="Verdana"/>
          <w:sz w:val="24"/>
          <w:szCs w:val="24"/>
        </w:rPr>
        <w:t xml:space="preserve">, en situation normale comme en situation dégradée. Un </w:t>
      </w:r>
      <w:r w:rsidRPr="00CD2811">
        <w:rPr>
          <w:rFonts w:ascii="Verdana" w:hAnsi="Verdana"/>
          <w:b/>
          <w:bCs/>
          <w:sz w:val="24"/>
          <w:szCs w:val="24"/>
        </w:rPr>
        <w:t>recensement régulier</w:t>
      </w:r>
      <w:r w:rsidRPr="00CD2811">
        <w:rPr>
          <w:rFonts w:ascii="Verdana" w:hAnsi="Verdana"/>
          <w:sz w:val="24"/>
          <w:szCs w:val="24"/>
        </w:rPr>
        <w:t xml:space="preserve"> des éléments du réseau susceptibles de présenter un risque est effectué via les tournées d’inspection terrain, les retours d’exploitation, les audits internes, ainsi que les </w:t>
      </w:r>
      <w:r w:rsidRPr="00CD2811">
        <w:rPr>
          <w:rFonts w:ascii="Verdana" w:hAnsi="Verdana"/>
          <w:b/>
          <w:bCs/>
          <w:sz w:val="24"/>
          <w:szCs w:val="24"/>
        </w:rPr>
        <w:t>visites annuelles de l’organisme agréé</w:t>
      </w:r>
      <w:r w:rsidRPr="00CD2811">
        <w:rPr>
          <w:rFonts w:ascii="Verdana" w:hAnsi="Verdana"/>
          <w:sz w:val="24"/>
          <w:szCs w:val="24"/>
        </w:rPr>
        <w:t xml:space="preserve">. Chaque année, l’ensemble du </w:t>
      </w:r>
      <w:r w:rsidRPr="00CD2811">
        <w:rPr>
          <w:rFonts w:ascii="Verdana" w:hAnsi="Verdana"/>
          <w:b/>
          <w:bCs/>
          <w:sz w:val="24"/>
          <w:szCs w:val="24"/>
        </w:rPr>
        <w:t>réseau HT de l’AIEG</w:t>
      </w:r>
      <w:r w:rsidRPr="00CD2811">
        <w:rPr>
          <w:rFonts w:ascii="Verdana" w:hAnsi="Verdana"/>
          <w:sz w:val="24"/>
          <w:szCs w:val="24"/>
        </w:rPr>
        <w:t xml:space="preserve"> fait ainsi l’objet d’un contrôle approfondi, principalement axé sur le respect du </w:t>
      </w:r>
      <w:r w:rsidRPr="00CD2811">
        <w:rPr>
          <w:rFonts w:ascii="Verdana" w:hAnsi="Verdana"/>
          <w:b/>
          <w:bCs/>
          <w:sz w:val="24"/>
          <w:szCs w:val="24"/>
        </w:rPr>
        <w:t>RGIE</w:t>
      </w:r>
      <w:r w:rsidRPr="00CD2811">
        <w:rPr>
          <w:rFonts w:ascii="Verdana" w:hAnsi="Verdana"/>
          <w:sz w:val="24"/>
          <w:szCs w:val="24"/>
        </w:rPr>
        <w:t xml:space="preserve">. Toutefois, ces inspections restent </w:t>
      </w:r>
      <w:r w:rsidRPr="00CD2811">
        <w:rPr>
          <w:rFonts w:ascii="Verdana" w:hAnsi="Verdana"/>
          <w:b/>
          <w:bCs/>
          <w:sz w:val="24"/>
          <w:szCs w:val="24"/>
        </w:rPr>
        <w:t>en deçà des exigences de l’Arrêté Royal du 4 décembre 2012</w:t>
      </w:r>
      <w:r w:rsidRPr="00CD2811">
        <w:rPr>
          <w:rFonts w:ascii="Verdana" w:hAnsi="Verdana"/>
          <w:sz w:val="24"/>
          <w:szCs w:val="24"/>
        </w:rPr>
        <w:t xml:space="preserve">, en ce sens qu’elles ne s’appuient pas sur une réelle </w:t>
      </w:r>
      <w:r w:rsidRPr="00CD2811">
        <w:rPr>
          <w:rFonts w:ascii="Verdana" w:hAnsi="Verdana"/>
          <w:b/>
          <w:bCs/>
          <w:sz w:val="24"/>
          <w:szCs w:val="24"/>
        </w:rPr>
        <w:t>analyse de risques</w:t>
      </w:r>
      <w:r w:rsidRPr="00CD2811">
        <w:rPr>
          <w:rFonts w:ascii="Verdana" w:hAnsi="Verdana"/>
          <w:sz w:val="24"/>
          <w:szCs w:val="24"/>
        </w:rPr>
        <w:t xml:space="preserve">, mais plutôt sur une </w:t>
      </w:r>
      <w:r w:rsidRPr="00CD2811">
        <w:rPr>
          <w:rFonts w:ascii="Verdana" w:hAnsi="Verdana"/>
          <w:b/>
          <w:bCs/>
          <w:sz w:val="24"/>
          <w:szCs w:val="24"/>
        </w:rPr>
        <w:t>liste exhaustive d’infractions et de remarques</w:t>
      </w:r>
      <w:r w:rsidRPr="00CD2811">
        <w:rPr>
          <w:rFonts w:ascii="Verdana" w:hAnsi="Verdana"/>
          <w:sz w:val="24"/>
          <w:szCs w:val="24"/>
        </w:rPr>
        <w:t xml:space="preserve">. Les points examinés portent notamment sur </w:t>
      </w:r>
      <w:r w:rsidRPr="00CD2811">
        <w:rPr>
          <w:rFonts w:ascii="Verdana" w:hAnsi="Verdana"/>
          <w:b/>
          <w:bCs/>
          <w:sz w:val="24"/>
          <w:szCs w:val="24"/>
        </w:rPr>
        <w:t>l’enveloppe des bâtiments</w:t>
      </w:r>
      <w:r w:rsidRPr="00CD2811">
        <w:rPr>
          <w:rFonts w:ascii="Verdana" w:hAnsi="Verdana"/>
          <w:sz w:val="24"/>
          <w:szCs w:val="24"/>
        </w:rPr>
        <w:t xml:space="preserve">, la </w:t>
      </w:r>
      <w:r w:rsidRPr="00CD2811">
        <w:rPr>
          <w:rFonts w:ascii="Verdana" w:hAnsi="Verdana"/>
          <w:b/>
          <w:bCs/>
          <w:sz w:val="24"/>
          <w:szCs w:val="24"/>
        </w:rPr>
        <w:t>ventilation des cabines</w:t>
      </w:r>
      <w:r w:rsidRPr="00CD2811">
        <w:rPr>
          <w:rFonts w:ascii="Verdana" w:hAnsi="Verdana"/>
          <w:sz w:val="24"/>
          <w:szCs w:val="24"/>
        </w:rPr>
        <w:t>, l’</w:t>
      </w:r>
      <w:r w:rsidRPr="00CD2811">
        <w:rPr>
          <w:rFonts w:ascii="Verdana" w:hAnsi="Verdana"/>
          <w:b/>
          <w:bCs/>
          <w:sz w:val="24"/>
          <w:szCs w:val="24"/>
        </w:rPr>
        <w:t>état mécanique des dispositifs de fixation des armoires</w:t>
      </w:r>
      <w:r w:rsidRPr="00CD2811">
        <w:rPr>
          <w:rFonts w:ascii="Verdana" w:hAnsi="Verdana"/>
          <w:sz w:val="24"/>
          <w:szCs w:val="24"/>
        </w:rPr>
        <w:t>, ou encore l’accessibilité des cellules.</w:t>
      </w:r>
    </w:p>
    <w:p w14:paraId="5A51B58F" w14:textId="77777777" w:rsidR="00CD2811" w:rsidRPr="00CD2811" w:rsidRDefault="00CD2811" w:rsidP="00CD2811">
      <w:pPr>
        <w:spacing w:after="240" w:line="240" w:lineRule="auto"/>
        <w:jc w:val="both"/>
        <w:rPr>
          <w:rFonts w:ascii="Verdana" w:hAnsi="Verdana"/>
          <w:sz w:val="24"/>
          <w:szCs w:val="24"/>
        </w:rPr>
      </w:pPr>
      <w:r w:rsidRPr="00CD2811">
        <w:rPr>
          <w:rFonts w:ascii="Verdana" w:hAnsi="Verdana"/>
          <w:sz w:val="24"/>
          <w:szCs w:val="24"/>
        </w:rPr>
        <w:t>En 2023, les principales remarques formulées par l’organisme agréé ont concerné :</w:t>
      </w:r>
    </w:p>
    <w:p w14:paraId="0BAF1887" w14:textId="77777777" w:rsidR="00CD2811" w:rsidRPr="00CD2811" w:rsidRDefault="00CD2811" w:rsidP="00CD2811">
      <w:pPr>
        <w:numPr>
          <w:ilvl w:val="0"/>
          <w:numId w:val="37"/>
        </w:numPr>
        <w:spacing w:after="240" w:line="240" w:lineRule="auto"/>
        <w:jc w:val="both"/>
        <w:rPr>
          <w:rFonts w:ascii="Verdana" w:hAnsi="Verdana"/>
          <w:sz w:val="24"/>
          <w:szCs w:val="24"/>
        </w:rPr>
      </w:pPr>
      <w:r w:rsidRPr="00CD2811">
        <w:rPr>
          <w:rFonts w:ascii="Verdana" w:hAnsi="Verdana"/>
          <w:sz w:val="24"/>
          <w:szCs w:val="24"/>
        </w:rPr>
        <w:t>L’</w:t>
      </w:r>
      <w:r w:rsidRPr="00CD2811">
        <w:rPr>
          <w:rFonts w:ascii="Verdana" w:hAnsi="Verdana"/>
          <w:b/>
          <w:bCs/>
          <w:sz w:val="24"/>
          <w:szCs w:val="24"/>
        </w:rPr>
        <w:t>état de vétusté avancée de plusieurs postes aériens</w:t>
      </w:r>
      <w:r w:rsidRPr="00CD2811">
        <w:rPr>
          <w:rFonts w:ascii="Verdana" w:hAnsi="Verdana"/>
          <w:sz w:val="24"/>
          <w:szCs w:val="24"/>
        </w:rPr>
        <w:t xml:space="preserve"> situés dans l’entité de </w:t>
      </w:r>
      <w:proofErr w:type="spellStart"/>
      <w:r w:rsidRPr="00CD2811">
        <w:rPr>
          <w:rFonts w:ascii="Verdana" w:hAnsi="Verdana"/>
          <w:b/>
          <w:bCs/>
          <w:sz w:val="24"/>
          <w:szCs w:val="24"/>
        </w:rPr>
        <w:t>Ohey</w:t>
      </w:r>
      <w:proofErr w:type="spellEnd"/>
      <w:r w:rsidRPr="00CD2811">
        <w:rPr>
          <w:rFonts w:ascii="Verdana" w:hAnsi="Verdana"/>
          <w:sz w:val="24"/>
          <w:szCs w:val="24"/>
        </w:rPr>
        <w:t>, présentant un risque accru pour le personnel lors des opérations de manœuvre ou de maintenance ;</w:t>
      </w:r>
    </w:p>
    <w:p w14:paraId="574CA3E5" w14:textId="77777777" w:rsidR="00CD2811" w:rsidRPr="00CD2811" w:rsidRDefault="00CD2811" w:rsidP="00CD2811">
      <w:pPr>
        <w:numPr>
          <w:ilvl w:val="0"/>
          <w:numId w:val="37"/>
        </w:numPr>
        <w:spacing w:after="240" w:line="240" w:lineRule="auto"/>
        <w:jc w:val="both"/>
        <w:rPr>
          <w:rFonts w:ascii="Verdana" w:hAnsi="Verdana"/>
          <w:sz w:val="24"/>
          <w:szCs w:val="24"/>
        </w:rPr>
      </w:pPr>
      <w:r w:rsidRPr="00CD2811">
        <w:rPr>
          <w:rFonts w:ascii="Verdana" w:hAnsi="Verdana"/>
          <w:sz w:val="24"/>
          <w:szCs w:val="24"/>
        </w:rPr>
        <w:t xml:space="preserve">Des </w:t>
      </w:r>
      <w:r w:rsidRPr="00CD2811">
        <w:rPr>
          <w:rFonts w:ascii="Verdana" w:hAnsi="Verdana"/>
          <w:b/>
          <w:bCs/>
          <w:sz w:val="24"/>
          <w:szCs w:val="24"/>
        </w:rPr>
        <w:t>valeurs de résistance de mise à la terre (TERRE) trop élevées</w:t>
      </w:r>
      <w:r w:rsidRPr="00CD2811">
        <w:rPr>
          <w:rFonts w:ascii="Verdana" w:hAnsi="Verdana"/>
          <w:sz w:val="24"/>
          <w:szCs w:val="24"/>
        </w:rPr>
        <w:t xml:space="preserve"> constatées dans certaines cabines de la commune de </w:t>
      </w:r>
      <w:proofErr w:type="spellStart"/>
      <w:r w:rsidRPr="00CD2811">
        <w:rPr>
          <w:rFonts w:ascii="Verdana" w:hAnsi="Verdana"/>
          <w:b/>
          <w:bCs/>
          <w:sz w:val="24"/>
          <w:szCs w:val="24"/>
        </w:rPr>
        <w:t>Viroinval</w:t>
      </w:r>
      <w:proofErr w:type="spellEnd"/>
      <w:r w:rsidRPr="00CD2811">
        <w:rPr>
          <w:rFonts w:ascii="Verdana" w:hAnsi="Verdana"/>
          <w:sz w:val="24"/>
          <w:szCs w:val="24"/>
        </w:rPr>
        <w:t>, pouvant compromettre l’efficacité des protections différentielles en cas de défaut.</w:t>
      </w:r>
    </w:p>
    <w:p w14:paraId="32387284" w14:textId="77777777" w:rsidR="00CD2811" w:rsidRPr="00CD2811" w:rsidRDefault="00CD2811" w:rsidP="00CD2811">
      <w:pPr>
        <w:spacing w:after="240" w:line="240" w:lineRule="auto"/>
        <w:jc w:val="both"/>
        <w:rPr>
          <w:rFonts w:ascii="Verdana" w:hAnsi="Verdana"/>
          <w:sz w:val="24"/>
          <w:szCs w:val="24"/>
        </w:rPr>
      </w:pPr>
      <w:r w:rsidRPr="00CD2811">
        <w:rPr>
          <w:rFonts w:ascii="Verdana" w:hAnsi="Verdana"/>
          <w:sz w:val="24"/>
          <w:szCs w:val="24"/>
        </w:rPr>
        <w:t xml:space="preserve">Les </w:t>
      </w:r>
      <w:r w:rsidRPr="00CD2811">
        <w:rPr>
          <w:rFonts w:ascii="Verdana" w:hAnsi="Verdana"/>
          <w:b/>
          <w:bCs/>
          <w:sz w:val="24"/>
          <w:szCs w:val="24"/>
        </w:rPr>
        <w:t>mesures de mise en conformité</w:t>
      </w:r>
      <w:r w:rsidRPr="00CD2811">
        <w:rPr>
          <w:rFonts w:ascii="Verdana" w:hAnsi="Verdana"/>
          <w:sz w:val="24"/>
          <w:szCs w:val="24"/>
        </w:rPr>
        <w:t xml:space="preserve"> ont été immédiatement intégrées aux </w:t>
      </w:r>
      <w:r w:rsidRPr="00CD2811">
        <w:rPr>
          <w:rFonts w:ascii="Verdana" w:hAnsi="Verdana"/>
          <w:b/>
          <w:bCs/>
          <w:sz w:val="24"/>
          <w:szCs w:val="24"/>
        </w:rPr>
        <w:t>programmes d’entretien annuel des cabines</w:t>
      </w:r>
      <w:r w:rsidRPr="00CD2811">
        <w:rPr>
          <w:rFonts w:ascii="Verdana" w:hAnsi="Verdana"/>
          <w:sz w:val="24"/>
          <w:szCs w:val="24"/>
        </w:rPr>
        <w:t xml:space="preserve">, avec des remplacements de piquets de terre, renforcement des conducteurs de liaison équipotentielle, ou révision des connexions. Concernant les postes aériens, un </w:t>
      </w:r>
      <w:r w:rsidRPr="00CD2811">
        <w:rPr>
          <w:rFonts w:ascii="Verdana" w:hAnsi="Verdana"/>
          <w:b/>
          <w:bCs/>
          <w:sz w:val="24"/>
          <w:szCs w:val="24"/>
        </w:rPr>
        <w:t>programme de remplacement par des modèles normalisés</w:t>
      </w:r>
      <w:r w:rsidRPr="00CD2811">
        <w:rPr>
          <w:rFonts w:ascii="Verdana" w:hAnsi="Verdana"/>
          <w:sz w:val="24"/>
          <w:szCs w:val="24"/>
        </w:rPr>
        <w:t>, plus sécurisés, est en cours, avec une planification échelonnée en fonction de l’indice de vétusté et de l’environnement immédiat (proximité de voirie, école, zone publique).</w:t>
      </w:r>
    </w:p>
    <w:p w14:paraId="3A8E0221" w14:textId="77777777" w:rsidR="00CD2811" w:rsidRPr="00CD2811" w:rsidRDefault="00CD2811" w:rsidP="00CD2811">
      <w:pPr>
        <w:spacing w:after="240" w:line="240" w:lineRule="auto"/>
        <w:jc w:val="both"/>
        <w:rPr>
          <w:rFonts w:ascii="Verdana" w:hAnsi="Verdana"/>
          <w:sz w:val="24"/>
          <w:szCs w:val="24"/>
        </w:rPr>
      </w:pPr>
      <w:r w:rsidRPr="00CD2811">
        <w:rPr>
          <w:rFonts w:ascii="Verdana" w:hAnsi="Verdana"/>
          <w:sz w:val="24"/>
          <w:szCs w:val="24"/>
        </w:rPr>
        <w:t xml:space="preserve">Enfin, les </w:t>
      </w:r>
      <w:r w:rsidRPr="00CD2811">
        <w:rPr>
          <w:rFonts w:ascii="Verdana" w:hAnsi="Verdana"/>
          <w:b/>
          <w:bCs/>
          <w:sz w:val="24"/>
          <w:szCs w:val="24"/>
        </w:rPr>
        <w:t>cabines MT/BT jugées critiques</w:t>
      </w:r>
      <w:r w:rsidRPr="00CD2811">
        <w:rPr>
          <w:rFonts w:ascii="Verdana" w:hAnsi="Verdana"/>
          <w:sz w:val="24"/>
          <w:szCs w:val="24"/>
        </w:rPr>
        <w:t xml:space="preserve"> font l’objet d’un traitement prioritaire : remplacement des logettes ouvertes par des </w:t>
      </w:r>
      <w:r w:rsidRPr="00CD2811">
        <w:rPr>
          <w:rFonts w:ascii="Verdana" w:hAnsi="Verdana"/>
          <w:b/>
          <w:bCs/>
          <w:sz w:val="24"/>
          <w:szCs w:val="24"/>
        </w:rPr>
        <w:t>cellulages modulaires</w:t>
      </w:r>
      <w:r w:rsidRPr="00CD2811">
        <w:rPr>
          <w:rFonts w:ascii="Verdana" w:hAnsi="Verdana"/>
          <w:sz w:val="24"/>
          <w:szCs w:val="24"/>
        </w:rPr>
        <w:t xml:space="preserve">, </w:t>
      </w:r>
      <w:r w:rsidRPr="00CD2811">
        <w:rPr>
          <w:rFonts w:ascii="Verdana" w:hAnsi="Verdana"/>
          <w:b/>
          <w:bCs/>
          <w:sz w:val="24"/>
          <w:szCs w:val="24"/>
        </w:rPr>
        <w:t>intégration de RTU</w:t>
      </w:r>
      <w:r w:rsidRPr="00CD2811">
        <w:rPr>
          <w:rFonts w:ascii="Verdana" w:hAnsi="Verdana"/>
          <w:sz w:val="24"/>
          <w:szCs w:val="24"/>
        </w:rPr>
        <w:t xml:space="preserve"> pour le télécontrôle (mesures U, I, f et détection de défauts), et mise à niveau complète des installations conformément au RGIE. L’ensemble de ces actions vise à </w:t>
      </w:r>
      <w:r w:rsidRPr="00CD2811">
        <w:rPr>
          <w:rFonts w:ascii="Verdana" w:hAnsi="Verdana"/>
          <w:b/>
          <w:bCs/>
          <w:sz w:val="24"/>
          <w:szCs w:val="24"/>
        </w:rPr>
        <w:t>garantir un niveau de sécurité optimal</w:t>
      </w:r>
      <w:r w:rsidRPr="00CD2811">
        <w:rPr>
          <w:rFonts w:ascii="Verdana" w:hAnsi="Verdana"/>
          <w:sz w:val="24"/>
          <w:szCs w:val="24"/>
        </w:rPr>
        <w:t xml:space="preserve">, et sont planifiées dans le cadre du </w:t>
      </w:r>
      <w:r w:rsidRPr="00CD2811">
        <w:rPr>
          <w:rFonts w:ascii="Verdana" w:hAnsi="Verdana"/>
          <w:b/>
          <w:bCs/>
          <w:sz w:val="24"/>
          <w:szCs w:val="24"/>
        </w:rPr>
        <w:t>plan d’adaptation 2025-2030</w:t>
      </w:r>
      <w:r w:rsidRPr="00CD2811">
        <w:rPr>
          <w:rFonts w:ascii="Verdana" w:hAnsi="Verdana"/>
          <w:sz w:val="24"/>
          <w:szCs w:val="24"/>
        </w:rPr>
        <w:t>.</w:t>
      </w:r>
    </w:p>
    <w:p w14:paraId="44E9DDE4" w14:textId="19A8FFA8" w:rsidR="009C0E95" w:rsidRDefault="009C0E95" w:rsidP="006B2B09">
      <w:pPr>
        <w:pStyle w:val="aieg4"/>
        <w:rPr>
          <w:b w:val="0"/>
        </w:rPr>
      </w:pPr>
      <w:proofErr w:type="gramStart"/>
      <w:r>
        <w:lastRenderedPageBreak/>
        <w:t>distances</w:t>
      </w:r>
      <w:proofErr w:type="gramEnd"/>
      <w:r>
        <w:t xml:space="preserve"> de </w:t>
      </w:r>
      <w:proofErr w:type="spellStart"/>
      <w:r>
        <w:t>securité</w:t>
      </w:r>
      <w:proofErr w:type="spellEnd"/>
    </w:p>
    <w:p w14:paraId="41EF4C9F" w14:textId="79411920" w:rsidR="000F46AF" w:rsidRDefault="00622FAA" w:rsidP="000B01EA">
      <w:pPr>
        <w:pStyle w:val="AIEG3"/>
        <w:numPr>
          <w:ilvl w:val="0"/>
          <w:numId w:val="0"/>
        </w:numPr>
        <w:rPr>
          <w:b w:val="0"/>
          <w:i/>
          <w:sz w:val="20"/>
          <w:szCs w:val="20"/>
        </w:rPr>
      </w:pPr>
      <w:proofErr w:type="gramStart"/>
      <w:r>
        <w:t>pas</w:t>
      </w:r>
      <w:proofErr w:type="gramEnd"/>
      <w:r>
        <w:t xml:space="preserve"> de </w:t>
      </w:r>
      <w:proofErr w:type="spellStart"/>
      <w:r>
        <w:t>probléme</w:t>
      </w:r>
      <w:proofErr w:type="spellEnd"/>
      <w:r>
        <w:t xml:space="preserve"> signalé </w:t>
      </w:r>
    </w:p>
    <w:p w14:paraId="145B53F2" w14:textId="72DA2964" w:rsidR="009C0E95" w:rsidRDefault="009C0E95" w:rsidP="006B2B09">
      <w:pPr>
        <w:pStyle w:val="aieg4"/>
        <w:rPr>
          <w:b w:val="0"/>
        </w:rPr>
      </w:pPr>
      <w:proofErr w:type="gramStart"/>
      <w:r>
        <w:t>sécurité</w:t>
      </w:r>
      <w:proofErr w:type="gramEnd"/>
      <w:r>
        <w:t xml:space="preserve"> dans les cabine</w:t>
      </w:r>
      <w:r w:rsidR="008C73CB">
        <w:t>s</w:t>
      </w:r>
      <w:r>
        <w:t xml:space="preserve"> </w:t>
      </w:r>
      <w:proofErr w:type="gramStart"/>
      <w:r>
        <w:t>( AR</w:t>
      </w:r>
      <w:proofErr w:type="gramEnd"/>
      <w:r>
        <w:t xml:space="preserve"> 04/12/2012)</w:t>
      </w:r>
    </w:p>
    <w:p w14:paraId="5F3DD5B1" w14:textId="77777777" w:rsidR="0072692D" w:rsidRPr="0072692D" w:rsidRDefault="0072692D" w:rsidP="00EC7024">
      <w:pPr>
        <w:jc w:val="both"/>
        <w:rPr>
          <w:rFonts w:ascii="Verdana" w:hAnsi="Verdana"/>
          <w:sz w:val="24"/>
          <w:szCs w:val="24"/>
        </w:rPr>
      </w:pPr>
      <w:r w:rsidRPr="0072692D">
        <w:rPr>
          <w:rFonts w:ascii="Verdana" w:hAnsi="Verdana"/>
          <w:sz w:val="24"/>
          <w:szCs w:val="24"/>
        </w:rPr>
        <w:t>En 2013, à la suite de la reprise de l’exploitation de la commune d’</w:t>
      </w:r>
      <w:r w:rsidRPr="0072692D">
        <w:rPr>
          <w:rFonts w:ascii="Verdana" w:hAnsi="Verdana"/>
          <w:b/>
          <w:bCs/>
          <w:sz w:val="24"/>
          <w:szCs w:val="24"/>
        </w:rPr>
        <w:t>Andenne</w:t>
      </w:r>
      <w:r w:rsidRPr="0072692D">
        <w:rPr>
          <w:rFonts w:ascii="Verdana" w:hAnsi="Verdana"/>
          <w:sz w:val="24"/>
          <w:szCs w:val="24"/>
        </w:rPr>
        <w:t xml:space="preserve"> par l’AIEG, une </w:t>
      </w:r>
      <w:r w:rsidRPr="0072692D">
        <w:rPr>
          <w:rFonts w:ascii="Verdana" w:hAnsi="Verdana"/>
          <w:b/>
          <w:bCs/>
          <w:sz w:val="24"/>
          <w:szCs w:val="24"/>
        </w:rPr>
        <w:t>analyse globale des risques</w:t>
      </w:r>
      <w:r w:rsidRPr="0072692D">
        <w:rPr>
          <w:rFonts w:ascii="Verdana" w:hAnsi="Verdana"/>
          <w:sz w:val="24"/>
          <w:szCs w:val="24"/>
        </w:rPr>
        <w:t xml:space="preserve"> a été engagée afin d’identifier les </w:t>
      </w:r>
      <w:r w:rsidRPr="0072692D">
        <w:rPr>
          <w:rFonts w:ascii="Verdana" w:hAnsi="Verdana"/>
          <w:b/>
          <w:bCs/>
          <w:sz w:val="24"/>
          <w:szCs w:val="24"/>
        </w:rPr>
        <w:t>nœuds critiques du réseau moyenne tension (MT)</w:t>
      </w:r>
      <w:r w:rsidRPr="0072692D">
        <w:rPr>
          <w:rFonts w:ascii="Verdana" w:hAnsi="Verdana"/>
          <w:sz w:val="24"/>
          <w:szCs w:val="24"/>
        </w:rPr>
        <w:t xml:space="preserve">, en vue de prioriser les investissements et les opérations de mise en conformité. Cette analyse a porté sur un ensemble de </w:t>
      </w:r>
      <w:r w:rsidRPr="0072692D">
        <w:rPr>
          <w:rFonts w:ascii="Verdana" w:hAnsi="Verdana"/>
          <w:b/>
          <w:bCs/>
          <w:sz w:val="24"/>
          <w:szCs w:val="24"/>
        </w:rPr>
        <w:t>223 équipements MT</w:t>
      </w:r>
      <w:r w:rsidRPr="0072692D">
        <w:rPr>
          <w:rFonts w:ascii="Verdana" w:hAnsi="Verdana"/>
          <w:sz w:val="24"/>
          <w:szCs w:val="24"/>
        </w:rPr>
        <w:t xml:space="preserve">, comprenant des </w:t>
      </w:r>
      <w:r w:rsidRPr="0072692D">
        <w:rPr>
          <w:rFonts w:ascii="Verdana" w:hAnsi="Verdana"/>
          <w:b/>
          <w:bCs/>
          <w:sz w:val="24"/>
          <w:szCs w:val="24"/>
        </w:rPr>
        <w:t>cabines réseau</w:t>
      </w:r>
      <w:r w:rsidRPr="0072692D">
        <w:rPr>
          <w:rFonts w:ascii="Verdana" w:hAnsi="Verdana"/>
          <w:sz w:val="24"/>
          <w:szCs w:val="24"/>
        </w:rPr>
        <w:t xml:space="preserve">, </w:t>
      </w:r>
      <w:r w:rsidRPr="0072692D">
        <w:rPr>
          <w:rFonts w:ascii="Verdana" w:hAnsi="Verdana"/>
          <w:b/>
          <w:bCs/>
          <w:sz w:val="24"/>
          <w:szCs w:val="24"/>
        </w:rPr>
        <w:t>postes de transformation aériens (PTA)</w:t>
      </w:r>
      <w:r w:rsidRPr="0072692D">
        <w:rPr>
          <w:rFonts w:ascii="Verdana" w:hAnsi="Verdana"/>
          <w:sz w:val="24"/>
          <w:szCs w:val="24"/>
        </w:rPr>
        <w:t xml:space="preserve"> et </w:t>
      </w:r>
      <w:r w:rsidRPr="0072692D">
        <w:rPr>
          <w:rFonts w:ascii="Verdana" w:hAnsi="Verdana"/>
          <w:b/>
          <w:bCs/>
          <w:sz w:val="24"/>
          <w:szCs w:val="24"/>
        </w:rPr>
        <w:t>postes de sectionnement</w:t>
      </w:r>
      <w:r w:rsidRPr="0072692D">
        <w:rPr>
          <w:rFonts w:ascii="Verdana" w:hAnsi="Verdana"/>
          <w:sz w:val="24"/>
          <w:szCs w:val="24"/>
        </w:rPr>
        <w:t xml:space="preserve">, tous </w:t>
      </w:r>
      <w:r w:rsidRPr="0072692D">
        <w:rPr>
          <w:rFonts w:ascii="Verdana" w:hAnsi="Verdana"/>
          <w:b/>
          <w:bCs/>
          <w:sz w:val="24"/>
          <w:szCs w:val="24"/>
        </w:rPr>
        <w:t>inspectés in situ</w:t>
      </w:r>
      <w:r w:rsidRPr="0072692D">
        <w:rPr>
          <w:rFonts w:ascii="Verdana" w:hAnsi="Verdana"/>
          <w:sz w:val="24"/>
          <w:szCs w:val="24"/>
        </w:rPr>
        <w:t xml:space="preserve">. Une </w:t>
      </w:r>
      <w:r w:rsidRPr="0072692D">
        <w:rPr>
          <w:rFonts w:ascii="Verdana" w:hAnsi="Verdana"/>
          <w:b/>
          <w:bCs/>
          <w:sz w:val="24"/>
          <w:szCs w:val="24"/>
        </w:rPr>
        <w:t>classification structurée</w:t>
      </w:r>
      <w:r w:rsidRPr="0072692D">
        <w:rPr>
          <w:rFonts w:ascii="Verdana" w:hAnsi="Verdana"/>
          <w:sz w:val="24"/>
          <w:szCs w:val="24"/>
        </w:rPr>
        <w:t xml:space="preserve"> a été mise en place, fondée sur plusieurs critères : conformité RGIE, état mécanique des équipements, accessibilité, protection du public, vétusté des appareillages, et criticité fonctionnelle dans la topologie du réseau. En parallèle, une </w:t>
      </w:r>
      <w:r w:rsidRPr="0072692D">
        <w:rPr>
          <w:rFonts w:ascii="Verdana" w:hAnsi="Verdana"/>
          <w:b/>
          <w:bCs/>
          <w:sz w:val="24"/>
          <w:szCs w:val="24"/>
        </w:rPr>
        <w:t>évaluation financière des coûts de mise en conformité</w:t>
      </w:r>
      <w:r w:rsidRPr="0072692D">
        <w:rPr>
          <w:rFonts w:ascii="Verdana" w:hAnsi="Verdana"/>
          <w:sz w:val="24"/>
          <w:szCs w:val="24"/>
        </w:rPr>
        <w:t xml:space="preserve"> a été établie pour chaque site analysé, permettant de mieux planifier les investissements requis. Cette méthodologie a permis d’élaborer un </w:t>
      </w:r>
      <w:r w:rsidRPr="0072692D">
        <w:rPr>
          <w:rFonts w:ascii="Verdana" w:hAnsi="Verdana"/>
          <w:b/>
          <w:bCs/>
          <w:sz w:val="24"/>
          <w:szCs w:val="24"/>
        </w:rPr>
        <w:t>diagnostic de référence</w:t>
      </w:r>
      <w:r w:rsidRPr="0072692D">
        <w:rPr>
          <w:rFonts w:ascii="Verdana" w:hAnsi="Verdana"/>
          <w:sz w:val="24"/>
          <w:szCs w:val="24"/>
        </w:rPr>
        <w:t xml:space="preserve"> et d’orienter les agents responsables du contrôle vers les zones les plus sensibles du territoire.</w:t>
      </w:r>
    </w:p>
    <w:p w14:paraId="623BD4D8" w14:textId="77777777" w:rsidR="0072692D" w:rsidRPr="0072692D" w:rsidRDefault="0072692D" w:rsidP="00EC7024">
      <w:pPr>
        <w:jc w:val="both"/>
        <w:rPr>
          <w:rFonts w:ascii="Verdana" w:hAnsi="Verdana"/>
          <w:sz w:val="24"/>
          <w:szCs w:val="24"/>
        </w:rPr>
      </w:pPr>
      <w:r w:rsidRPr="0072692D">
        <w:rPr>
          <w:rFonts w:ascii="Verdana" w:hAnsi="Verdana"/>
          <w:sz w:val="24"/>
          <w:szCs w:val="24"/>
        </w:rPr>
        <w:t xml:space="preserve">En 2023, ce travail de fond a été poursuivi. </w:t>
      </w:r>
      <w:r w:rsidRPr="0072692D">
        <w:rPr>
          <w:rFonts w:ascii="Verdana" w:hAnsi="Verdana"/>
          <w:b/>
          <w:bCs/>
          <w:sz w:val="24"/>
          <w:szCs w:val="24"/>
        </w:rPr>
        <w:t>30 cabines et 64 postes de transformation aériens</w:t>
      </w:r>
      <w:r w:rsidRPr="0072692D">
        <w:rPr>
          <w:rFonts w:ascii="Verdana" w:hAnsi="Verdana"/>
          <w:sz w:val="24"/>
          <w:szCs w:val="24"/>
        </w:rPr>
        <w:t xml:space="preserve"> ont été analysés selon les exigences de l’</w:t>
      </w:r>
      <w:r w:rsidRPr="0072692D">
        <w:rPr>
          <w:rFonts w:ascii="Verdana" w:hAnsi="Verdana"/>
          <w:b/>
          <w:bCs/>
          <w:sz w:val="24"/>
          <w:szCs w:val="24"/>
        </w:rPr>
        <w:t>Arrêté Royal du 4 décembre 2012</w:t>
      </w:r>
      <w:r w:rsidRPr="0072692D">
        <w:rPr>
          <w:rFonts w:ascii="Verdana" w:hAnsi="Verdana"/>
          <w:sz w:val="24"/>
          <w:szCs w:val="24"/>
        </w:rPr>
        <w:t xml:space="preserve">. Les résultats de cette campagne révèlent que </w:t>
      </w:r>
      <w:r w:rsidRPr="0072692D">
        <w:rPr>
          <w:rFonts w:ascii="Verdana" w:hAnsi="Verdana"/>
          <w:b/>
          <w:bCs/>
          <w:sz w:val="24"/>
          <w:szCs w:val="24"/>
        </w:rPr>
        <w:t>22 cabines</w:t>
      </w:r>
      <w:r w:rsidRPr="0072692D">
        <w:rPr>
          <w:rFonts w:ascii="Verdana" w:hAnsi="Verdana"/>
          <w:sz w:val="24"/>
          <w:szCs w:val="24"/>
        </w:rPr>
        <w:t xml:space="preserve"> et </w:t>
      </w:r>
      <w:r w:rsidRPr="0072692D">
        <w:rPr>
          <w:rFonts w:ascii="Verdana" w:hAnsi="Verdana"/>
          <w:b/>
          <w:bCs/>
          <w:sz w:val="24"/>
          <w:szCs w:val="24"/>
        </w:rPr>
        <w:t>42 postes</w:t>
      </w:r>
      <w:r w:rsidRPr="0072692D">
        <w:rPr>
          <w:rFonts w:ascii="Verdana" w:hAnsi="Verdana"/>
          <w:sz w:val="24"/>
          <w:szCs w:val="24"/>
        </w:rPr>
        <w:t xml:space="preserve"> sont </w:t>
      </w:r>
      <w:r w:rsidRPr="0072692D">
        <w:rPr>
          <w:rFonts w:ascii="Verdana" w:hAnsi="Verdana"/>
          <w:b/>
          <w:bCs/>
          <w:sz w:val="24"/>
          <w:szCs w:val="24"/>
        </w:rPr>
        <w:t>conformes</w:t>
      </w:r>
      <w:r w:rsidRPr="0072692D">
        <w:rPr>
          <w:rFonts w:ascii="Verdana" w:hAnsi="Verdana"/>
          <w:sz w:val="24"/>
          <w:szCs w:val="24"/>
        </w:rPr>
        <w:t xml:space="preserve"> aux normes en vigueur. </w:t>
      </w:r>
      <w:r w:rsidRPr="0072692D">
        <w:rPr>
          <w:rFonts w:ascii="Verdana" w:hAnsi="Verdana"/>
          <w:b/>
          <w:bCs/>
          <w:sz w:val="24"/>
          <w:szCs w:val="24"/>
        </w:rPr>
        <w:t>2 cabines</w:t>
      </w:r>
      <w:r w:rsidRPr="0072692D">
        <w:rPr>
          <w:rFonts w:ascii="Verdana" w:hAnsi="Verdana"/>
          <w:sz w:val="24"/>
          <w:szCs w:val="24"/>
        </w:rPr>
        <w:t xml:space="preserve"> et </w:t>
      </w:r>
      <w:r w:rsidRPr="0072692D">
        <w:rPr>
          <w:rFonts w:ascii="Verdana" w:hAnsi="Verdana"/>
          <w:b/>
          <w:bCs/>
          <w:sz w:val="24"/>
          <w:szCs w:val="24"/>
        </w:rPr>
        <w:t>18 postes</w:t>
      </w:r>
      <w:r w:rsidRPr="0072692D">
        <w:rPr>
          <w:rFonts w:ascii="Verdana" w:hAnsi="Verdana"/>
          <w:sz w:val="24"/>
          <w:szCs w:val="24"/>
        </w:rPr>
        <w:t xml:space="preserve"> ont été jugés </w:t>
      </w:r>
      <w:r w:rsidRPr="0072692D">
        <w:rPr>
          <w:rFonts w:ascii="Verdana" w:hAnsi="Verdana"/>
          <w:b/>
          <w:bCs/>
          <w:sz w:val="24"/>
          <w:szCs w:val="24"/>
        </w:rPr>
        <w:t>non conformes</w:t>
      </w:r>
      <w:r w:rsidRPr="0072692D">
        <w:rPr>
          <w:rFonts w:ascii="Verdana" w:hAnsi="Verdana"/>
          <w:sz w:val="24"/>
          <w:szCs w:val="24"/>
        </w:rPr>
        <w:t xml:space="preserve">, mais sans caractère critique immédiat. En revanche, </w:t>
      </w:r>
      <w:r w:rsidRPr="0072692D">
        <w:rPr>
          <w:rFonts w:ascii="Verdana" w:hAnsi="Verdana"/>
          <w:b/>
          <w:bCs/>
          <w:sz w:val="24"/>
          <w:szCs w:val="24"/>
        </w:rPr>
        <w:t>6 cabines</w:t>
      </w:r>
      <w:r w:rsidRPr="0072692D">
        <w:rPr>
          <w:rFonts w:ascii="Verdana" w:hAnsi="Verdana"/>
          <w:sz w:val="24"/>
          <w:szCs w:val="24"/>
        </w:rPr>
        <w:t xml:space="preserve"> et </w:t>
      </w:r>
      <w:r w:rsidRPr="0072692D">
        <w:rPr>
          <w:rFonts w:ascii="Verdana" w:hAnsi="Verdana"/>
          <w:b/>
          <w:bCs/>
          <w:sz w:val="24"/>
          <w:szCs w:val="24"/>
        </w:rPr>
        <w:t>4 postes aériens</w:t>
      </w:r>
      <w:r w:rsidRPr="0072692D">
        <w:rPr>
          <w:rFonts w:ascii="Verdana" w:hAnsi="Verdana"/>
          <w:sz w:val="24"/>
          <w:szCs w:val="24"/>
        </w:rPr>
        <w:t xml:space="preserve"> ont été classés comme </w:t>
      </w:r>
      <w:r w:rsidRPr="0072692D">
        <w:rPr>
          <w:rFonts w:ascii="Verdana" w:hAnsi="Verdana"/>
          <w:b/>
          <w:bCs/>
          <w:sz w:val="24"/>
          <w:szCs w:val="24"/>
        </w:rPr>
        <w:t>non conformes et critiques</w:t>
      </w:r>
      <w:r w:rsidRPr="0072692D">
        <w:rPr>
          <w:rFonts w:ascii="Verdana" w:hAnsi="Verdana"/>
          <w:sz w:val="24"/>
          <w:szCs w:val="24"/>
        </w:rPr>
        <w:t xml:space="preserve">, nécessitant des mesures correctives à court terme. Ces derniers ont été intégrés en priorité dans le </w:t>
      </w:r>
      <w:r w:rsidRPr="0072692D">
        <w:rPr>
          <w:rFonts w:ascii="Verdana" w:hAnsi="Verdana"/>
          <w:b/>
          <w:bCs/>
          <w:sz w:val="24"/>
          <w:szCs w:val="24"/>
        </w:rPr>
        <w:t>plan d’adaptation 2025-2030</w:t>
      </w:r>
      <w:r w:rsidRPr="0072692D">
        <w:rPr>
          <w:rFonts w:ascii="Verdana" w:hAnsi="Verdana"/>
          <w:sz w:val="24"/>
          <w:szCs w:val="24"/>
        </w:rPr>
        <w:t xml:space="preserve">, avec des interventions programmées incluant la </w:t>
      </w:r>
      <w:r w:rsidRPr="0072692D">
        <w:rPr>
          <w:rFonts w:ascii="Verdana" w:hAnsi="Verdana"/>
          <w:b/>
          <w:bCs/>
          <w:sz w:val="24"/>
          <w:szCs w:val="24"/>
        </w:rPr>
        <w:t>remise en conformité RGIE</w:t>
      </w:r>
      <w:r w:rsidRPr="0072692D">
        <w:rPr>
          <w:rFonts w:ascii="Verdana" w:hAnsi="Verdana"/>
          <w:sz w:val="24"/>
          <w:szCs w:val="24"/>
        </w:rPr>
        <w:t xml:space="preserve">, le </w:t>
      </w:r>
      <w:r w:rsidRPr="0072692D">
        <w:rPr>
          <w:rFonts w:ascii="Verdana" w:hAnsi="Verdana"/>
          <w:b/>
          <w:bCs/>
          <w:sz w:val="24"/>
          <w:szCs w:val="24"/>
        </w:rPr>
        <w:t>renforcement des mises à la terre</w:t>
      </w:r>
      <w:r w:rsidRPr="0072692D">
        <w:rPr>
          <w:rFonts w:ascii="Verdana" w:hAnsi="Verdana"/>
          <w:sz w:val="24"/>
          <w:szCs w:val="24"/>
        </w:rPr>
        <w:t xml:space="preserve">, le </w:t>
      </w:r>
      <w:r w:rsidRPr="0072692D">
        <w:rPr>
          <w:rFonts w:ascii="Verdana" w:hAnsi="Verdana"/>
          <w:b/>
          <w:bCs/>
          <w:sz w:val="24"/>
          <w:szCs w:val="24"/>
        </w:rPr>
        <w:t>remplacement d’armoires défectueuses</w:t>
      </w:r>
      <w:r w:rsidRPr="0072692D">
        <w:rPr>
          <w:rFonts w:ascii="Verdana" w:hAnsi="Verdana"/>
          <w:sz w:val="24"/>
          <w:szCs w:val="24"/>
        </w:rPr>
        <w:t xml:space="preserve">, et, le cas échéant, la </w:t>
      </w:r>
      <w:r w:rsidRPr="0072692D">
        <w:rPr>
          <w:rFonts w:ascii="Verdana" w:hAnsi="Verdana"/>
          <w:b/>
          <w:bCs/>
          <w:sz w:val="24"/>
          <w:szCs w:val="24"/>
        </w:rPr>
        <w:t>reconstruction complète de la cabine</w:t>
      </w:r>
      <w:r w:rsidRPr="0072692D">
        <w:rPr>
          <w:rFonts w:ascii="Verdana" w:hAnsi="Verdana"/>
          <w:sz w:val="24"/>
          <w:szCs w:val="24"/>
        </w:rPr>
        <w:t>.</w:t>
      </w:r>
    </w:p>
    <w:p w14:paraId="2C6151BD" w14:textId="77777777" w:rsidR="0072692D" w:rsidRPr="0072692D" w:rsidRDefault="0072692D" w:rsidP="00EC7024">
      <w:pPr>
        <w:jc w:val="both"/>
        <w:rPr>
          <w:rFonts w:ascii="Verdana" w:hAnsi="Verdana"/>
          <w:sz w:val="24"/>
          <w:szCs w:val="24"/>
        </w:rPr>
      </w:pPr>
      <w:r w:rsidRPr="0072692D">
        <w:rPr>
          <w:rFonts w:ascii="Verdana" w:hAnsi="Verdana"/>
          <w:sz w:val="24"/>
          <w:szCs w:val="24"/>
        </w:rPr>
        <w:t xml:space="preserve">Il est également important de souligner qu’une </w:t>
      </w:r>
      <w:r w:rsidRPr="0072692D">
        <w:rPr>
          <w:rFonts w:ascii="Verdana" w:hAnsi="Verdana"/>
          <w:b/>
          <w:bCs/>
          <w:sz w:val="24"/>
          <w:szCs w:val="24"/>
        </w:rPr>
        <w:t>erreur méthodologique</w:t>
      </w:r>
      <w:r w:rsidRPr="0072692D">
        <w:rPr>
          <w:rFonts w:ascii="Verdana" w:hAnsi="Verdana"/>
          <w:sz w:val="24"/>
          <w:szCs w:val="24"/>
        </w:rPr>
        <w:t xml:space="preserve"> figurait dans les précédents rapports, où les </w:t>
      </w:r>
      <w:r w:rsidRPr="0072692D">
        <w:rPr>
          <w:rFonts w:ascii="Verdana" w:hAnsi="Verdana"/>
          <w:b/>
          <w:bCs/>
          <w:sz w:val="24"/>
          <w:szCs w:val="24"/>
        </w:rPr>
        <w:t>cabines clients</w:t>
      </w:r>
      <w:r w:rsidRPr="0072692D">
        <w:rPr>
          <w:rFonts w:ascii="Verdana" w:hAnsi="Verdana"/>
          <w:sz w:val="24"/>
          <w:szCs w:val="24"/>
        </w:rPr>
        <w:t xml:space="preserve"> avaient été incluses dans le décompte global des cabines HTA, portant à tort le total à </w:t>
      </w:r>
      <w:r w:rsidRPr="0072692D">
        <w:rPr>
          <w:rFonts w:ascii="Verdana" w:hAnsi="Verdana"/>
          <w:b/>
          <w:bCs/>
          <w:sz w:val="24"/>
          <w:szCs w:val="24"/>
        </w:rPr>
        <w:t>294</w:t>
      </w:r>
      <w:r w:rsidRPr="0072692D">
        <w:rPr>
          <w:rFonts w:ascii="Verdana" w:hAnsi="Verdana"/>
          <w:sz w:val="24"/>
          <w:szCs w:val="24"/>
        </w:rPr>
        <w:t xml:space="preserve"> unités au lieu des </w:t>
      </w:r>
      <w:r w:rsidRPr="0072692D">
        <w:rPr>
          <w:rFonts w:ascii="Verdana" w:hAnsi="Verdana"/>
          <w:b/>
          <w:bCs/>
          <w:sz w:val="24"/>
          <w:szCs w:val="24"/>
        </w:rPr>
        <w:t>210 équipements réellement exploités par l’AIEG</w:t>
      </w:r>
      <w:r w:rsidRPr="0072692D">
        <w:rPr>
          <w:rFonts w:ascii="Verdana" w:hAnsi="Verdana"/>
          <w:sz w:val="24"/>
          <w:szCs w:val="24"/>
        </w:rPr>
        <w:t xml:space="preserve">. Cette correction a été intégrée dans les bases de données techniques, garantissant désormais une </w:t>
      </w:r>
      <w:r w:rsidRPr="0072692D">
        <w:rPr>
          <w:rFonts w:ascii="Verdana" w:hAnsi="Verdana"/>
          <w:b/>
          <w:bCs/>
          <w:sz w:val="24"/>
          <w:szCs w:val="24"/>
        </w:rPr>
        <w:t>meilleure fiabilité du suivi patrimonial</w:t>
      </w:r>
      <w:r w:rsidRPr="0072692D">
        <w:rPr>
          <w:rFonts w:ascii="Verdana" w:hAnsi="Verdana"/>
          <w:sz w:val="24"/>
          <w:szCs w:val="24"/>
        </w:rPr>
        <w:t xml:space="preserve"> et de la planification des investissements.</w:t>
      </w:r>
    </w:p>
    <w:p w14:paraId="32BFB314" w14:textId="77777777" w:rsidR="0072692D" w:rsidRDefault="0072692D" w:rsidP="00787684">
      <w:pPr>
        <w:rPr>
          <w:rFonts w:ascii="Verdana" w:hAnsi="Verdana"/>
        </w:rPr>
      </w:pPr>
    </w:p>
    <w:p w14:paraId="34B383E1" w14:textId="77777777" w:rsidR="00787684" w:rsidRDefault="00787684" w:rsidP="006438A3">
      <w:pPr>
        <w:pStyle w:val="AIEG2"/>
        <w:numPr>
          <w:ilvl w:val="0"/>
          <w:numId w:val="0"/>
        </w:numPr>
      </w:pPr>
    </w:p>
    <w:tbl>
      <w:tblPr>
        <w:tblStyle w:val="Grilledutableau"/>
        <w:tblW w:w="0" w:type="auto"/>
        <w:tblLook w:val="04A0" w:firstRow="1" w:lastRow="0" w:firstColumn="1" w:lastColumn="0" w:noHBand="0" w:noVBand="1"/>
      </w:tblPr>
      <w:tblGrid>
        <w:gridCol w:w="1838"/>
        <w:gridCol w:w="4667"/>
        <w:gridCol w:w="1361"/>
        <w:gridCol w:w="1194"/>
      </w:tblGrid>
      <w:tr w:rsidR="000306F2" w:rsidRPr="00FA7BD6" w14:paraId="5BB14371" w14:textId="77777777" w:rsidTr="00144FA1">
        <w:tc>
          <w:tcPr>
            <w:tcW w:w="6505" w:type="dxa"/>
            <w:gridSpan w:val="2"/>
            <w:vMerge w:val="restart"/>
          </w:tcPr>
          <w:p w14:paraId="0811DE6A" w14:textId="63E4245A" w:rsidR="000306F2" w:rsidRPr="00A05B50" w:rsidRDefault="000306F2" w:rsidP="00144FA1">
            <w:pPr>
              <w:jc w:val="center"/>
              <w:rPr>
                <w:rFonts w:ascii="Verdana" w:hAnsi="Verdana"/>
                <w:b/>
                <w:i/>
                <w:sz w:val="20"/>
                <w:szCs w:val="20"/>
              </w:rPr>
            </w:pPr>
            <w:r w:rsidRPr="00A05B50">
              <w:rPr>
                <w:rFonts w:ascii="Verdana" w:hAnsi="Verdana"/>
                <w:b/>
                <w:i/>
                <w:sz w:val="20"/>
                <w:szCs w:val="20"/>
              </w:rPr>
              <w:t>Situation au 31 / 12/ 20</w:t>
            </w:r>
            <w:r w:rsidR="001E10FD">
              <w:rPr>
                <w:rFonts w:ascii="Verdana" w:hAnsi="Verdana"/>
                <w:b/>
                <w:i/>
                <w:sz w:val="20"/>
                <w:szCs w:val="20"/>
              </w:rPr>
              <w:t>2</w:t>
            </w:r>
            <w:r w:rsidR="00A05B50" w:rsidRPr="00A05B50">
              <w:rPr>
                <w:rFonts w:ascii="Verdana" w:hAnsi="Verdana"/>
                <w:b/>
                <w:i/>
                <w:sz w:val="20"/>
                <w:szCs w:val="20"/>
              </w:rPr>
              <w:t>3</w:t>
            </w:r>
          </w:p>
        </w:tc>
        <w:tc>
          <w:tcPr>
            <w:tcW w:w="2555" w:type="dxa"/>
            <w:gridSpan w:val="2"/>
          </w:tcPr>
          <w:p w14:paraId="308E3C6F" w14:textId="77777777" w:rsidR="000306F2" w:rsidRPr="00A05B50" w:rsidRDefault="000306F2" w:rsidP="00144FA1">
            <w:pPr>
              <w:jc w:val="center"/>
              <w:rPr>
                <w:rFonts w:ascii="Verdana" w:hAnsi="Verdana"/>
                <w:b/>
                <w:sz w:val="20"/>
                <w:szCs w:val="20"/>
              </w:rPr>
            </w:pPr>
            <w:r w:rsidRPr="00A05B50">
              <w:rPr>
                <w:rFonts w:ascii="Verdana" w:hAnsi="Verdana"/>
                <w:b/>
                <w:sz w:val="20"/>
                <w:szCs w:val="20"/>
              </w:rPr>
              <w:t>Nbre d’</w:t>
            </w:r>
            <w:proofErr w:type="spellStart"/>
            <w:r w:rsidRPr="00A05B50">
              <w:rPr>
                <w:rFonts w:ascii="Verdana" w:hAnsi="Verdana"/>
                <w:b/>
                <w:sz w:val="20"/>
                <w:szCs w:val="20"/>
              </w:rPr>
              <w:t>equipements</w:t>
            </w:r>
            <w:proofErr w:type="spellEnd"/>
            <w:r w:rsidRPr="00A05B50">
              <w:rPr>
                <w:rFonts w:ascii="Verdana" w:hAnsi="Verdana"/>
                <w:b/>
                <w:sz w:val="20"/>
                <w:szCs w:val="20"/>
              </w:rPr>
              <w:t xml:space="preserve"> GRD</w:t>
            </w:r>
          </w:p>
        </w:tc>
      </w:tr>
      <w:tr w:rsidR="000306F2" w:rsidRPr="00FA7BD6" w14:paraId="38C41EBE" w14:textId="77777777" w:rsidTr="00144FA1">
        <w:tc>
          <w:tcPr>
            <w:tcW w:w="6505" w:type="dxa"/>
            <w:gridSpan w:val="2"/>
            <w:vMerge/>
          </w:tcPr>
          <w:p w14:paraId="3A752D14" w14:textId="77777777" w:rsidR="000306F2" w:rsidRPr="00A05B50" w:rsidRDefault="000306F2" w:rsidP="00144FA1">
            <w:pPr>
              <w:rPr>
                <w:rFonts w:ascii="Verdana" w:hAnsi="Verdana"/>
                <w:b/>
                <w:i/>
                <w:sz w:val="20"/>
                <w:szCs w:val="20"/>
              </w:rPr>
            </w:pPr>
          </w:p>
        </w:tc>
        <w:tc>
          <w:tcPr>
            <w:tcW w:w="1361" w:type="dxa"/>
          </w:tcPr>
          <w:p w14:paraId="3C4F28BD" w14:textId="77777777" w:rsidR="000306F2" w:rsidRPr="00A05B50" w:rsidRDefault="000306F2" w:rsidP="00144FA1">
            <w:pPr>
              <w:jc w:val="center"/>
              <w:rPr>
                <w:rFonts w:ascii="Verdana" w:hAnsi="Verdana"/>
                <w:b/>
                <w:sz w:val="20"/>
                <w:szCs w:val="20"/>
              </w:rPr>
            </w:pPr>
            <w:proofErr w:type="gramStart"/>
            <w:r w:rsidRPr="00A05B50">
              <w:rPr>
                <w:rFonts w:ascii="Verdana" w:hAnsi="Verdana"/>
                <w:b/>
                <w:sz w:val="20"/>
                <w:szCs w:val="20"/>
              </w:rPr>
              <w:t>cabines</w:t>
            </w:r>
            <w:proofErr w:type="gramEnd"/>
          </w:p>
        </w:tc>
        <w:tc>
          <w:tcPr>
            <w:tcW w:w="1194" w:type="dxa"/>
          </w:tcPr>
          <w:p w14:paraId="43DAB7A5" w14:textId="77777777" w:rsidR="000306F2" w:rsidRPr="00A05B50" w:rsidRDefault="000306F2" w:rsidP="00144FA1">
            <w:pPr>
              <w:jc w:val="center"/>
              <w:rPr>
                <w:rFonts w:ascii="Verdana" w:hAnsi="Verdana"/>
                <w:b/>
                <w:sz w:val="20"/>
                <w:szCs w:val="20"/>
              </w:rPr>
            </w:pPr>
            <w:r w:rsidRPr="00A05B50">
              <w:rPr>
                <w:rFonts w:ascii="Verdana" w:hAnsi="Verdana"/>
                <w:b/>
                <w:sz w:val="20"/>
                <w:szCs w:val="20"/>
              </w:rPr>
              <w:t>PTA</w:t>
            </w:r>
          </w:p>
        </w:tc>
      </w:tr>
      <w:tr w:rsidR="000306F2" w:rsidRPr="00FA7BD6" w14:paraId="5B2A0993" w14:textId="77777777" w:rsidTr="00144FA1">
        <w:tc>
          <w:tcPr>
            <w:tcW w:w="6505" w:type="dxa"/>
            <w:gridSpan w:val="2"/>
          </w:tcPr>
          <w:p w14:paraId="56DC24C8" w14:textId="77777777" w:rsidR="000306F2" w:rsidRPr="00A05B50" w:rsidRDefault="000306F2" w:rsidP="00144FA1">
            <w:pPr>
              <w:rPr>
                <w:rFonts w:ascii="Verdana" w:hAnsi="Verdana"/>
                <w:b/>
                <w:i/>
                <w:sz w:val="20"/>
                <w:szCs w:val="20"/>
              </w:rPr>
            </w:pPr>
            <w:r w:rsidRPr="00A05B50">
              <w:rPr>
                <w:rFonts w:ascii="Verdana" w:hAnsi="Verdana"/>
                <w:b/>
                <w:i/>
                <w:sz w:val="20"/>
                <w:szCs w:val="20"/>
              </w:rPr>
              <w:t xml:space="preserve">Nombre Total GRD </w:t>
            </w:r>
          </w:p>
        </w:tc>
        <w:tc>
          <w:tcPr>
            <w:tcW w:w="1361" w:type="dxa"/>
          </w:tcPr>
          <w:p w14:paraId="567BEA9E" w14:textId="6942FDA3" w:rsidR="000306F2" w:rsidRPr="00A05B50" w:rsidRDefault="00E810CC" w:rsidP="00144FA1">
            <w:pPr>
              <w:jc w:val="center"/>
              <w:rPr>
                <w:rFonts w:ascii="Verdana" w:hAnsi="Verdana"/>
                <w:b/>
                <w:sz w:val="20"/>
                <w:szCs w:val="20"/>
              </w:rPr>
            </w:pPr>
            <w:r w:rsidRPr="00A05B50">
              <w:rPr>
                <w:rFonts w:ascii="Verdana" w:hAnsi="Verdana"/>
                <w:b/>
                <w:sz w:val="20"/>
                <w:szCs w:val="20"/>
              </w:rPr>
              <w:t>2</w:t>
            </w:r>
            <w:r w:rsidR="00380A65" w:rsidRPr="00A05B50">
              <w:rPr>
                <w:rFonts w:ascii="Verdana" w:hAnsi="Verdana"/>
                <w:b/>
                <w:sz w:val="20"/>
                <w:szCs w:val="20"/>
              </w:rPr>
              <w:t>10</w:t>
            </w:r>
          </w:p>
        </w:tc>
        <w:tc>
          <w:tcPr>
            <w:tcW w:w="1194" w:type="dxa"/>
          </w:tcPr>
          <w:p w14:paraId="6AE480B1" w14:textId="302B632D" w:rsidR="000306F2" w:rsidRPr="00A05B50" w:rsidRDefault="00380A65" w:rsidP="00144FA1">
            <w:pPr>
              <w:jc w:val="center"/>
              <w:rPr>
                <w:rFonts w:ascii="Verdana" w:hAnsi="Verdana"/>
                <w:b/>
                <w:sz w:val="20"/>
                <w:szCs w:val="20"/>
              </w:rPr>
            </w:pPr>
            <w:r w:rsidRPr="00A05B50">
              <w:rPr>
                <w:rFonts w:ascii="Verdana" w:hAnsi="Verdana"/>
                <w:b/>
                <w:sz w:val="20"/>
                <w:szCs w:val="20"/>
              </w:rPr>
              <w:t>157</w:t>
            </w:r>
          </w:p>
        </w:tc>
      </w:tr>
      <w:tr w:rsidR="000306F2" w:rsidRPr="00FA7BD6" w14:paraId="2EA9C2F6" w14:textId="77777777" w:rsidTr="00144FA1">
        <w:tc>
          <w:tcPr>
            <w:tcW w:w="6505" w:type="dxa"/>
            <w:gridSpan w:val="2"/>
          </w:tcPr>
          <w:p w14:paraId="76BE2F3B" w14:textId="42537D1E" w:rsidR="000306F2" w:rsidRPr="00A05B50" w:rsidRDefault="000306F2" w:rsidP="00144FA1">
            <w:pPr>
              <w:rPr>
                <w:rFonts w:ascii="Verdana" w:hAnsi="Verdana"/>
                <w:b/>
                <w:i/>
                <w:color w:val="FF0000"/>
                <w:sz w:val="20"/>
                <w:szCs w:val="20"/>
              </w:rPr>
            </w:pPr>
            <w:r w:rsidRPr="00A05B50">
              <w:rPr>
                <w:rFonts w:ascii="Verdana" w:hAnsi="Verdana"/>
                <w:b/>
                <w:i/>
                <w:color w:val="FF0000"/>
                <w:sz w:val="20"/>
                <w:szCs w:val="20"/>
              </w:rPr>
              <w:t>Nombre Total GRD Analysé en 20</w:t>
            </w:r>
            <w:r w:rsidR="001E10FD">
              <w:rPr>
                <w:rFonts w:ascii="Verdana" w:hAnsi="Verdana"/>
                <w:b/>
                <w:i/>
                <w:color w:val="FF0000"/>
                <w:sz w:val="20"/>
                <w:szCs w:val="20"/>
              </w:rPr>
              <w:t>2</w:t>
            </w:r>
            <w:r w:rsidR="00A05B50" w:rsidRPr="00A05B50">
              <w:rPr>
                <w:rFonts w:ascii="Verdana" w:hAnsi="Verdana"/>
                <w:b/>
                <w:i/>
                <w:color w:val="FF0000"/>
                <w:sz w:val="20"/>
                <w:szCs w:val="20"/>
              </w:rPr>
              <w:t>3</w:t>
            </w:r>
          </w:p>
        </w:tc>
        <w:tc>
          <w:tcPr>
            <w:tcW w:w="1361" w:type="dxa"/>
          </w:tcPr>
          <w:p w14:paraId="7926DAAC" w14:textId="141C3232" w:rsidR="000306F2" w:rsidRPr="00A05B50" w:rsidRDefault="00A05B50" w:rsidP="00144FA1">
            <w:pPr>
              <w:jc w:val="center"/>
              <w:rPr>
                <w:rFonts w:ascii="Verdana" w:hAnsi="Verdana"/>
                <w:b/>
                <w:color w:val="FF0000"/>
                <w:sz w:val="20"/>
                <w:szCs w:val="20"/>
              </w:rPr>
            </w:pPr>
            <w:r w:rsidRPr="00A05B50">
              <w:rPr>
                <w:rFonts w:ascii="Verdana" w:hAnsi="Verdana"/>
                <w:b/>
                <w:color w:val="FF0000"/>
                <w:sz w:val="20"/>
                <w:szCs w:val="20"/>
              </w:rPr>
              <w:t>30</w:t>
            </w:r>
          </w:p>
        </w:tc>
        <w:tc>
          <w:tcPr>
            <w:tcW w:w="1194" w:type="dxa"/>
          </w:tcPr>
          <w:p w14:paraId="629FFC95" w14:textId="3398AA1E" w:rsidR="000306F2" w:rsidRPr="00A05B50" w:rsidRDefault="00A05B50" w:rsidP="00144FA1">
            <w:pPr>
              <w:jc w:val="center"/>
              <w:rPr>
                <w:rFonts w:ascii="Verdana" w:hAnsi="Verdana"/>
                <w:b/>
                <w:color w:val="FF0000"/>
                <w:sz w:val="20"/>
                <w:szCs w:val="20"/>
              </w:rPr>
            </w:pPr>
            <w:r w:rsidRPr="00A05B50">
              <w:rPr>
                <w:rFonts w:ascii="Verdana" w:hAnsi="Verdana"/>
                <w:b/>
                <w:color w:val="FF0000"/>
                <w:sz w:val="20"/>
                <w:szCs w:val="20"/>
              </w:rPr>
              <w:t>64</w:t>
            </w:r>
          </w:p>
        </w:tc>
      </w:tr>
      <w:tr w:rsidR="000306F2" w:rsidRPr="00FA7BD6" w14:paraId="038E9C60" w14:textId="77777777" w:rsidTr="00144FA1">
        <w:tc>
          <w:tcPr>
            <w:tcW w:w="1838" w:type="dxa"/>
            <w:vMerge w:val="restart"/>
          </w:tcPr>
          <w:p w14:paraId="41A9213F" w14:textId="77777777" w:rsidR="000306F2" w:rsidRPr="00A05B50" w:rsidRDefault="000306F2" w:rsidP="00144FA1">
            <w:pPr>
              <w:rPr>
                <w:rFonts w:ascii="Verdana" w:hAnsi="Verdana"/>
                <w:b/>
                <w:i/>
                <w:sz w:val="20"/>
                <w:szCs w:val="20"/>
              </w:rPr>
            </w:pPr>
            <w:r w:rsidRPr="00A05B50">
              <w:rPr>
                <w:rFonts w:ascii="Verdana" w:hAnsi="Verdana"/>
                <w:b/>
                <w:i/>
                <w:sz w:val="20"/>
                <w:szCs w:val="20"/>
              </w:rPr>
              <w:t>Conclusions de l’analyse</w:t>
            </w:r>
          </w:p>
        </w:tc>
        <w:tc>
          <w:tcPr>
            <w:tcW w:w="4667" w:type="dxa"/>
            <w:shd w:val="clear" w:color="auto" w:fill="00B050"/>
          </w:tcPr>
          <w:p w14:paraId="106D4B7A" w14:textId="77777777" w:rsidR="000306F2" w:rsidRPr="00A05B50" w:rsidRDefault="000306F2" w:rsidP="00144FA1">
            <w:pPr>
              <w:rPr>
                <w:rFonts w:ascii="Verdana" w:hAnsi="Verdana"/>
                <w:b/>
                <w:i/>
                <w:sz w:val="20"/>
                <w:szCs w:val="20"/>
              </w:rPr>
            </w:pPr>
            <w:r w:rsidRPr="00A05B50">
              <w:rPr>
                <w:rFonts w:ascii="Verdana" w:hAnsi="Verdana"/>
                <w:b/>
                <w:i/>
                <w:sz w:val="20"/>
                <w:szCs w:val="20"/>
              </w:rPr>
              <w:t>Conforme</w:t>
            </w:r>
          </w:p>
        </w:tc>
        <w:tc>
          <w:tcPr>
            <w:tcW w:w="1361" w:type="dxa"/>
            <w:shd w:val="clear" w:color="auto" w:fill="00B050"/>
          </w:tcPr>
          <w:p w14:paraId="4BF535C7" w14:textId="2103CC76" w:rsidR="000306F2" w:rsidRPr="00A05B50" w:rsidRDefault="00A05B50" w:rsidP="00144FA1">
            <w:pPr>
              <w:jc w:val="center"/>
              <w:rPr>
                <w:rFonts w:ascii="Verdana" w:hAnsi="Verdana"/>
                <w:b/>
                <w:sz w:val="20"/>
                <w:szCs w:val="20"/>
              </w:rPr>
            </w:pPr>
            <w:r w:rsidRPr="00A05B50">
              <w:rPr>
                <w:rFonts w:ascii="Verdana" w:hAnsi="Verdana"/>
                <w:b/>
                <w:sz w:val="20"/>
                <w:szCs w:val="20"/>
              </w:rPr>
              <w:t>22</w:t>
            </w:r>
          </w:p>
        </w:tc>
        <w:tc>
          <w:tcPr>
            <w:tcW w:w="1194" w:type="dxa"/>
            <w:shd w:val="clear" w:color="auto" w:fill="00B050"/>
          </w:tcPr>
          <w:p w14:paraId="191CDE73" w14:textId="0900945B" w:rsidR="000306F2" w:rsidRPr="00A05B50" w:rsidRDefault="00A05B50" w:rsidP="00144FA1">
            <w:pPr>
              <w:jc w:val="center"/>
              <w:rPr>
                <w:rFonts w:ascii="Verdana" w:hAnsi="Verdana"/>
                <w:b/>
                <w:sz w:val="20"/>
                <w:szCs w:val="20"/>
              </w:rPr>
            </w:pPr>
            <w:r w:rsidRPr="00A05B50">
              <w:rPr>
                <w:rFonts w:ascii="Verdana" w:hAnsi="Verdana"/>
                <w:b/>
                <w:sz w:val="20"/>
                <w:szCs w:val="20"/>
              </w:rPr>
              <w:t>42</w:t>
            </w:r>
          </w:p>
        </w:tc>
      </w:tr>
      <w:tr w:rsidR="000306F2" w:rsidRPr="00FA7BD6" w14:paraId="2F1B922A" w14:textId="77777777" w:rsidTr="00144FA1">
        <w:tc>
          <w:tcPr>
            <w:tcW w:w="1838" w:type="dxa"/>
            <w:vMerge/>
          </w:tcPr>
          <w:p w14:paraId="1111C401" w14:textId="77777777" w:rsidR="000306F2" w:rsidRPr="00A05B50" w:rsidRDefault="000306F2" w:rsidP="00144FA1">
            <w:pPr>
              <w:rPr>
                <w:rFonts w:ascii="Verdana" w:hAnsi="Verdana"/>
                <w:b/>
                <w:i/>
                <w:sz w:val="20"/>
                <w:szCs w:val="20"/>
              </w:rPr>
            </w:pPr>
          </w:p>
        </w:tc>
        <w:tc>
          <w:tcPr>
            <w:tcW w:w="4667" w:type="dxa"/>
            <w:shd w:val="clear" w:color="auto" w:fill="FFC000"/>
          </w:tcPr>
          <w:p w14:paraId="71990585" w14:textId="77777777" w:rsidR="000306F2" w:rsidRPr="00A05B50" w:rsidRDefault="000306F2" w:rsidP="00144FA1">
            <w:pPr>
              <w:rPr>
                <w:rFonts w:ascii="Verdana" w:hAnsi="Verdana"/>
                <w:b/>
                <w:i/>
                <w:sz w:val="20"/>
                <w:szCs w:val="20"/>
              </w:rPr>
            </w:pPr>
            <w:r w:rsidRPr="00A05B50">
              <w:rPr>
                <w:rFonts w:ascii="Verdana" w:hAnsi="Verdana"/>
                <w:b/>
                <w:i/>
                <w:sz w:val="20"/>
                <w:szCs w:val="20"/>
              </w:rPr>
              <w:t>Non Conforme mais non critique</w:t>
            </w:r>
          </w:p>
        </w:tc>
        <w:tc>
          <w:tcPr>
            <w:tcW w:w="1361" w:type="dxa"/>
            <w:shd w:val="clear" w:color="auto" w:fill="FFC000"/>
          </w:tcPr>
          <w:p w14:paraId="1675B123" w14:textId="66189E33" w:rsidR="000306F2" w:rsidRPr="00A05B50" w:rsidRDefault="00A05B50" w:rsidP="00144FA1">
            <w:pPr>
              <w:jc w:val="center"/>
              <w:rPr>
                <w:rFonts w:ascii="Verdana" w:hAnsi="Verdana"/>
                <w:b/>
                <w:sz w:val="20"/>
                <w:szCs w:val="20"/>
              </w:rPr>
            </w:pPr>
            <w:r w:rsidRPr="00A05B50">
              <w:rPr>
                <w:rFonts w:ascii="Verdana" w:hAnsi="Verdana"/>
                <w:b/>
                <w:sz w:val="20"/>
                <w:szCs w:val="20"/>
              </w:rPr>
              <w:t>2</w:t>
            </w:r>
          </w:p>
        </w:tc>
        <w:tc>
          <w:tcPr>
            <w:tcW w:w="1194" w:type="dxa"/>
            <w:shd w:val="clear" w:color="auto" w:fill="FFC000"/>
          </w:tcPr>
          <w:p w14:paraId="3C193BE5" w14:textId="47B33F49" w:rsidR="000306F2" w:rsidRPr="00A05B50" w:rsidRDefault="00A05B50" w:rsidP="00144FA1">
            <w:pPr>
              <w:jc w:val="center"/>
              <w:rPr>
                <w:rFonts w:ascii="Verdana" w:hAnsi="Verdana"/>
                <w:b/>
                <w:sz w:val="20"/>
                <w:szCs w:val="20"/>
              </w:rPr>
            </w:pPr>
            <w:r w:rsidRPr="00A05B50">
              <w:rPr>
                <w:rFonts w:ascii="Verdana" w:hAnsi="Verdana"/>
                <w:b/>
                <w:sz w:val="20"/>
                <w:szCs w:val="20"/>
              </w:rPr>
              <w:t>18</w:t>
            </w:r>
          </w:p>
        </w:tc>
      </w:tr>
      <w:tr w:rsidR="000306F2" w:rsidRPr="00FA7BD6" w14:paraId="4685FD3C" w14:textId="77777777" w:rsidTr="00144FA1">
        <w:tc>
          <w:tcPr>
            <w:tcW w:w="1838" w:type="dxa"/>
            <w:vMerge/>
          </w:tcPr>
          <w:p w14:paraId="4FC32428" w14:textId="77777777" w:rsidR="000306F2" w:rsidRPr="00A05B50" w:rsidRDefault="000306F2" w:rsidP="00144FA1">
            <w:pPr>
              <w:rPr>
                <w:rFonts w:ascii="Verdana" w:hAnsi="Verdana"/>
                <w:b/>
                <w:i/>
                <w:sz w:val="20"/>
                <w:szCs w:val="20"/>
              </w:rPr>
            </w:pPr>
          </w:p>
        </w:tc>
        <w:tc>
          <w:tcPr>
            <w:tcW w:w="4667" w:type="dxa"/>
            <w:shd w:val="clear" w:color="auto" w:fill="FF0000"/>
          </w:tcPr>
          <w:p w14:paraId="0C4EF6A4" w14:textId="77777777" w:rsidR="000306F2" w:rsidRPr="00A05B50" w:rsidRDefault="000306F2" w:rsidP="00144FA1">
            <w:pPr>
              <w:rPr>
                <w:rFonts w:ascii="Verdana" w:hAnsi="Verdana"/>
                <w:b/>
                <w:i/>
                <w:sz w:val="20"/>
                <w:szCs w:val="20"/>
              </w:rPr>
            </w:pPr>
            <w:r w:rsidRPr="00A05B50">
              <w:rPr>
                <w:rFonts w:ascii="Verdana" w:hAnsi="Verdana"/>
                <w:b/>
                <w:i/>
                <w:sz w:val="20"/>
                <w:szCs w:val="20"/>
              </w:rPr>
              <w:t xml:space="preserve">Non conforme et jugé critique </w:t>
            </w:r>
          </w:p>
        </w:tc>
        <w:tc>
          <w:tcPr>
            <w:tcW w:w="1361" w:type="dxa"/>
            <w:shd w:val="clear" w:color="auto" w:fill="FF0000"/>
          </w:tcPr>
          <w:p w14:paraId="4C589877" w14:textId="3512521F" w:rsidR="000306F2" w:rsidRPr="00A05B50" w:rsidRDefault="00A05B50" w:rsidP="00144FA1">
            <w:pPr>
              <w:jc w:val="center"/>
              <w:rPr>
                <w:rFonts w:ascii="Verdana" w:hAnsi="Verdana"/>
                <w:b/>
                <w:sz w:val="20"/>
                <w:szCs w:val="20"/>
              </w:rPr>
            </w:pPr>
            <w:r w:rsidRPr="00A05B50">
              <w:rPr>
                <w:rFonts w:ascii="Verdana" w:hAnsi="Verdana"/>
                <w:b/>
                <w:sz w:val="20"/>
                <w:szCs w:val="20"/>
              </w:rPr>
              <w:t>6</w:t>
            </w:r>
          </w:p>
        </w:tc>
        <w:tc>
          <w:tcPr>
            <w:tcW w:w="1194" w:type="dxa"/>
            <w:shd w:val="clear" w:color="auto" w:fill="FF0000"/>
          </w:tcPr>
          <w:p w14:paraId="7DDDF17B" w14:textId="1D5F0F92" w:rsidR="000306F2" w:rsidRPr="00A05B50" w:rsidRDefault="00A05B50" w:rsidP="00144FA1">
            <w:pPr>
              <w:jc w:val="center"/>
              <w:rPr>
                <w:rFonts w:ascii="Verdana" w:hAnsi="Verdana"/>
                <w:b/>
                <w:sz w:val="20"/>
                <w:szCs w:val="20"/>
              </w:rPr>
            </w:pPr>
            <w:r w:rsidRPr="00A05B50">
              <w:rPr>
                <w:rFonts w:ascii="Verdana" w:hAnsi="Verdana"/>
                <w:b/>
                <w:sz w:val="20"/>
                <w:szCs w:val="20"/>
              </w:rPr>
              <w:t>4</w:t>
            </w:r>
          </w:p>
        </w:tc>
      </w:tr>
    </w:tbl>
    <w:p w14:paraId="1F539F03" w14:textId="77777777" w:rsidR="00F415B9" w:rsidRDefault="00F415B9">
      <w:pPr>
        <w:rPr>
          <w:rFonts w:ascii="Verdana" w:hAnsi="Verdana"/>
        </w:rPr>
      </w:pPr>
    </w:p>
    <w:p w14:paraId="48C0E959" w14:textId="77777777" w:rsidR="00B16394" w:rsidRDefault="00B16394" w:rsidP="0086254A">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1266"/>
        <w:gridCol w:w="1326"/>
      </w:tblGrid>
      <w:tr w:rsidR="009A13B5" w:rsidRPr="00FA7BD6" w14:paraId="454CA9D0" w14:textId="77777777" w:rsidTr="00AB6A0F">
        <w:trPr>
          <w:jc w:val="center"/>
        </w:trPr>
        <w:tc>
          <w:tcPr>
            <w:tcW w:w="2224" w:type="dxa"/>
            <w:tcBorders>
              <w:top w:val="nil"/>
              <w:left w:val="nil"/>
              <w:bottom w:val="single" w:sz="4" w:space="0" w:color="auto"/>
              <w:right w:val="single" w:sz="4" w:space="0" w:color="auto"/>
            </w:tcBorders>
            <w:shd w:val="clear" w:color="auto" w:fill="auto"/>
          </w:tcPr>
          <w:p w14:paraId="7C7952E6" w14:textId="77777777" w:rsidR="009A13B5" w:rsidRPr="00F841D2" w:rsidRDefault="009A13B5" w:rsidP="00AB6A0F">
            <w:pPr>
              <w:spacing w:after="0"/>
              <w:jc w:val="center"/>
              <w:rPr>
                <w:sz w:val="16"/>
                <w:szCs w:val="16"/>
              </w:rPr>
            </w:pPr>
          </w:p>
        </w:tc>
        <w:tc>
          <w:tcPr>
            <w:tcW w:w="1266" w:type="dxa"/>
            <w:tcBorders>
              <w:left w:val="single" w:sz="4" w:space="0" w:color="auto"/>
            </w:tcBorders>
            <w:shd w:val="clear" w:color="auto" w:fill="auto"/>
          </w:tcPr>
          <w:p w14:paraId="556E408F" w14:textId="77777777" w:rsidR="009A13B5" w:rsidRPr="00FA7BD6" w:rsidRDefault="009A13B5" w:rsidP="00AB6A0F">
            <w:pPr>
              <w:spacing w:after="0"/>
              <w:jc w:val="center"/>
              <w:rPr>
                <w:sz w:val="16"/>
                <w:szCs w:val="16"/>
                <w:highlight w:val="cyan"/>
              </w:rPr>
            </w:pPr>
            <w:r w:rsidRPr="00FA7BD6">
              <w:rPr>
                <w:sz w:val="16"/>
                <w:szCs w:val="16"/>
                <w:highlight w:val="cyan"/>
              </w:rPr>
              <w:t>Cabines au sol</w:t>
            </w:r>
          </w:p>
        </w:tc>
        <w:tc>
          <w:tcPr>
            <w:tcW w:w="1326" w:type="dxa"/>
            <w:shd w:val="clear" w:color="auto" w:fill="auto"/>
          </w:tcPr>
          <w:p w14:paraId="01AF834C" w14:textId="77777777" w:rsidR="009A13B5" w:rsidRPr="00FA7BD6" w:rsidRDefault="009A13B5" w:rsidP="00AB6A0F">
            <w:pPr>
              <w:spacing w:after="0"/>
              <w:jc w:val="center"/>
              <w:rPr>
                <w:sz w:val="16"/>
                <w:szCs w:val="16"/>
                <w:highlight w:val="cyan"/>
              </w:rPr>
            </w:pPr>
            <w:r w:rsidRPr="00FA7BD6">
              <w:rPr>
                <w:sz w:val="16"/>
                <w:szCs w:val="16"/>
                <w:highlight w:val="cyan"/>
              </w:rPr>
              <w:t>PTA</w:t>
            </w:r>
          </w:p>
        </w:tc>
      </w:tr>
      <w:tr w:rsidR="009A13B5" w:rsidRPr="00FA7BD6" w14:paraId="305A5110" w14:textId="77777777" w:rsidTr="00AB6A0F">
        <w:trPr>
          <w:jc w:val="center"/>
        </w:trPr>
        <w:tc>
          <w:tcPr>
            <w:tcW w:w="2224" w:type="dxa"/>
            <w:tcBorders>
              <w:top w:val="single" w:sz="4" w:space="0" w:color="auto"/>
            </w:tcBorders>
            <w:shd w:val="clear" w:color="auto" w:fill="auto"/>
          </w:tcPr>
          <w:p w14:paraId="291B7B0A" w14:textId="7C67EC52" w:rsidR="009A13B5" w:rsidRPr="001E10FD" w:rsidRDefault="009A13B5" w:rsidP="00AB6A0F">
            <w:pPr>
              <w:spacing w:after="0"/>
              <w:jc w:val="center"/>
              <w:rPr>
                <w:sz w:val="16"/>
                <w:szCs w:val="16"/>
              </w:rPr>
            </w:pPr>
            <w:r w:rsidRPr="001E10FD">
              <w:rPr>
                <w:sz w:val="16"/>
                <w:szCs w:val="16"/>
              </w:rPr>
              <w:t>Nombre de cabines visitées au 31/12/202</w:t>
            </w:r>
            <w:r w:rsidR="001E10FD" w:rsidRPr="001E10FD">
              <w:rPr>
                <w:sz w:val="16"/>
                <w:szCs w:val="16"/>
              </w:rPr>
              <w:t>3</w:t>
            </w:r>
          </w:p>
        </w:tc>
        <w:tc>
          <w:tcPr>
            <w:tcW w:w="1266" w:type="dxa"/>
            <w:shd w:val="clear" w:color="auto" w:fill="auto"/>
          </w:tcPr>
          <w:p w14:paraId="1E4BFD63" w14:textId="2DCEE5EE" w:rsidR="009A13B5" w:rsidRPr="001E10FD" w:rsidRDefault="001E10FD" w:rsidP="00AB6A0F">
            <w:pPr>
              <w:spacing w:after="0"/>
              <w:jc w:val="center"/>
              <w:rPr>
                <w:color w:val="FF0000"/>
              </w:rPr>
            </w:pPr>
            <w:r>
              <w:rPr>
                <w:color w:val="FF0000"/>
              </w:rPr>
              <w:t>143</w:t>
            </w:r>
          </w:p>
        </w:tc>
        <w:tc>
          <w:tcPr>
            <w:tcW w:w="1326" w:type="dxa"/>
            <w:shd w:val="clear" w:color="auto" w:fill="auto"/>
          </w:tcPr>
          <w:p w14:paraId="64446EC4" w14:textId="6913216B" w:rsidR="00490304" w:rsidRPr="001E10FD" w:rsidRDefault="001E10FD" w:rsidP="00490304">
            <w:pPr>
              <w:spacing w:after="0"/>
              <w:jc w:val="center"/>
              <w:rPr>
                <w:color w:val="FF0000"/>
              </w:rPr>
            </w:pPr>
            <w:r>
              <w:rPr>
                <w:color w:val="FF0000"/>
              </w:rPr>
              <w:t>157</w:t>
            </w:r>
          </w:p>
        </w:tc>
      </w:tr>
      <w:tr w:rsidR="009A13B5" w:rsidRPr="00FA7BD6" w14:paraId="13001535" w14:textId="77777777" w:rsidTr="00AB6A0F">
        <w:trPr>
          <w:jc w:val="center"/>
        </w:trPr>
        <w:tc>
          <w:tcPr>
            <w:tcW w:w="2224" w:type="dxa"/>
            <w:shd w:val="clear" w:color="auto" w:fill="00FF00"/>
          </w:tcPr>
          <w:p w14:paraId="13E48FF5" w14:textId="77777777" w:rsidR="009A13B5" w:rsidRPr="001E10FD" w:rsidRDefault="009A13B5" w:rsidP="00AB6A0F">
            <w:pPr>
              <w:spacing w:after="0"/>
              <w:jc w:val="center"/>
              <w:rPr>
                <w:sz w:val="16"/>
                <w:szCs w:val="16"/>
              </w:rPr>
            </w:pPr>
            <w:r w:rsidRPr="001E10FD">
              <w:rPr>
                <w:sz w:val="16"/>
                <w:szCs w:val="16"/>
              </w:rPr>
              <w:t>Vert :</w:t>
            </w:r>
          </w:p>
        </w:tc>
        <w:tc>
          <w:tcPr>
            <w:tcW w:w="1266" w:type="dxa"/>
            <w:shd w:val="clear" w:color="auto" w:fill="00FF00"/>
          </w:tcPr>
          <w:p w14:paraId="427365DF" w14:textId="1F23E119" w:rsidR="009A13B5" w:rsidRPr="001E10FD" w:rsidRDefault="00A71751" w:rsidP="00AB6A0F">
            <w:pPr>
              <w:spacing w:after="0"/>
              <w:jc w:val="center"/>
              <w:rPr>
                <w:color w:val="FF0000"/>
              </w:rPr>
            </w:pPr>
            <w:r>
              <w:rPr>
                <w:color w:val="FF0000"/>
              </w:rPr>
              <w:t>8</w:t>
            </w:r>
            <w:r w:rsidR="001E10FD">
              <w:rPr>
                <w:color w:val="FF0000"/>
              </w:rPr>
              <w:t>2</w:t>
            </w:r>
          </w:p>
        </w:tc>
        <w:tc>
          <w:tcPr>
            <w:tcW w:w="1326" w:type="dxa"/>
            <w:shd w:val="clear" w:color="auto" w:fill="00FF00"/>
          </w:tcPr>
          <w:p w14:paraId="6017FADF" w14:textId="195485BE" w:rsidR="009A13B5" w:rsidRPr="001E10FD" w:rsidRDefault="00A71751" w:rsidP="00AB6A0F">
            <w:pPr>
              <w:spacing w:after="0"/>
              <w:jc w:val="center"/>
              <w:rPr>
                <w:color w:val="FF0000"/>
              </w:rPr>
            </w:pPr>
            <w:r>
              <w:rPr>
                <w:color w:val="FF0000"/>
              </w:rPr>
              <w:t>76</w:t>
            </w:r>
          </w:p>
        </w:tc>
      </w:tr>
      <w:tr w:rsidR="009A13B5" w:rsidRPr="00FA7BD6" w14:paraId="53062A8E" w14:textId="77777777" w:rsidTr="00AB6A0F">
        <w:trPr>
          <w:jc w:val="center"/>
        </w:trPr>
        <w:tc>
          <w:tcPr>
            <w:tcW w:w="2224" w:type="dxa"/>
            <w:shd w:val="clear" w:color="auto" w:fill="FFC000"/>
          </w:tcPr>
          <w:p w14:paraId="053A3DB7" w14:textId="77777777" w:rsidR="009A13B5" w:rsidRPr="001E10FD" w:rsidRDefault="009A13B5" w:rsidP="00AB6A0F">
            <w:pPr>
              <w:spacing w:after="0"/>
              <w:jc w:val="center"/>
              <w:rPr>
                <w:sz w:val="16"/>
                <w:szCs w:val="16"/>
              </w:rPr>
            </w:pPr>
            <w:r w:rsidRPr="001E10FD">
              <w:rPr>
                <w:sz w:val="16"/>
                <w:szCs w:val="16"/>
              </w:rPr>
              <w:t>Orange :</w:t>
            </w:r>
          </w:p>
        </w:tc>
        <w:tc>
          <w:tcPr>
            <w:tcW w:w="1266" w:type="dxa"/>
            <w:shd w:val="clear" w:color="auto" w:fill="FFC000"/>
          </w:tcPr>
          <w:p w14:paraId="265E5672" w14:textId="7D8A203D" w:rsidR="00BE3C57" w:rsidRPr="001E10FD" w:rsidRDefault="001E10FD" w:rsidP="00BE3C57">
            <w:pPr>
              <w:spacing w:after="0"/>
              <w:jc w:val="center"/>
              <w:rPr>
                <w:color w:val="FF0000"/>
              </w:rPr>
            </w:pPr>
            <w:r>
              <w:rPr>
                <w:color w:val="FF0000"/>
              </w:rPr>
              <w:t>46</w:t>
            </w:r>
          </w:p>
        </w:tc>
        <w:tc>
          <w:tcPr>
            <w:tcW w:w="1326" w:type="dxa"/>
            <w:shd w:val="clear" w:color="auto" w:fill="FFC000"/>
          </w:tcPr>
          <w:p w14:paraId="0C271967" w14:textId="417417B0" w:rsidR="009A13B5" w:rsidRPr="001E10FD" w:rsidRDefault="00A71751" w:rsidP="00AB6A0F">
            <w:pPr>
              <w:spacing w:after="0"/>
              <w:jc w:val="center"/>
              <w:rPr>
                <w:color w:val="FF0000"/>
              </w:rPr>
            </w:pPr>
            <w:r>
              <w:rPr>
                <w:color w:val="FF0000"/>
              </w:rPr>
              <w:t>65</w:t>
            </w:r>
          </w:p>
        </w:tc>
      </w:tr>
      <w:tr w:rsidR="009A13B5" w:rsidRPr="00FA7BD6" w14:paraId="342F53FA" w14:textId="77777777" w:rsidTr="00AB6A0F">
        <w:trPr>
          <w:jc w:val="center"/>
        </w:trPr>
        <w:tc>
          <w:tcPr>
            <w:tcW w:w="2224" w:type="dxa"/>
            <w:shd w:val="clear" w:color="auto" w:fill="FF0000"/>
          </w:tcPr>
          <w:p w14:paraId="2E9B74E2" w14:textId="77777777" w:rsidR="009A13B5" w:rsidRPr="001E10FD" w:rsidRDefault="009A13B5" w:rsidP="00AB6A0F">
            <w:pPr>
              <w:spacing w:after="0"/>
              <w:jc w:val="center"/>
              <w:rPr>
                <w:sz w:val="16"/>
                <w:szCs w:val="16"/>
              </w:rPr>
            </w:pPr>
            <w:r w:rsidRPr="001E10FD">
              <w:rPr>
                <w:sz w:val="16"/>
                <w:szCs w:val="16"/>
              </w:rPr>
              <w:t>Rouge :</w:t>
            </w:r>
          </w:p>
        </w:tc>
        <w:tc>
          <w:tcPr>
            <w:tcW w:w="1266" w:type="dxa"/>
            <w:shd w:val="clear" w:color="auto" w:fill="FF0000"/>
          </w:tcPr>
          <w:p w14:paraId="1CDFE024" w14:textId="00D9BC4C" w:rsidR="009A13B5" w:rsidRPr="001E10FD" w:rsidRDefault="001E10FD" w:rsidP="00AB6A0F">
            <w:pPr>
              <w:spacing w:after="0"/>
              <w:jc w:val="center"/>
              <w:rPr>
                <w:color w:val="000000" w:themeColor="text1"/>
              </w:rPr>
            </w:pPr>
            <w:r>
              <w:rPr>
                <w:color w:val="000000" w:themeColor="text1"/>
              </w:rPr>
              <w:t>15</w:t>
            </w:r>
          </w:p>
        </w:tc>
        <w:tc>
          <w:tcPr>
            <w:tcW w:w="1326" w:type="dxa"/>
            <w:shd w:val="clear" w:color="auto" w:fill="FF0000"/>
          </w:tcPr>
          <w:p w14:paraId="53A676FB" w14:textId="3AD361EF" w:rsidR="009A13B5" w:rsidRPr="001E10FD" w:rsidRDefault="00E5014B" w:rsidP="00AB6A0F">
            <w:pPr>
              <w:spacing w:after="0"/>
              <w:jc w:val="center"/>
              <w:rPr>
                <w:color w:val="000000" w:themeColor="text1"/>
              </w:rPr>
            </w:pPr>
            <w:r w:rsidRPr="001E10FD">
              <w:rPr>
                <w:color w:val="000000" w:themeColor="text1"/>
              </w:rPr>
              <w:t>6</w:t>
            </w:r>
          </w:p>
        </w:tc>
      </w:tr>
      <w:tr w:rsidR="009A13B5" w:rsidRPr="00FA7BD6" w14:paraId="1D225B6F" w14:textId="77777777" w:rsidTr="00AB6A0F">
        <w:trPr>
          <w:jc w:val="center"/>
        </w:trPr>
        <w:tc>
          <w:tcPr>
            <w:tcW w:w="2224" w:type="dxa"/>
            <w:shd w:val="clear" w:color="auto" w:fill="BFBFBF"/>
          </w:tcPr>
          <w:p w14:paraId="16B55AAA" w14:textId="77777777" w:rsidR="009A13B5" w:rsidRPr="001E10FD" w:rsidRDefault="009A13B5" w:rsidP="00AB6A0F">
            <w:pPr>
              <w:spacing w:after="0"/>
              <w:jc w:val="center"/>
              <w:rPr>
                <w:sz w:val="16"/>
                <w:szCs w:val="16"/>
              </w:rPr>
            </w:pPr>
            <w:r w:rsidRPr="001E10FD">
              <w:rPr>
                <w:sz w:val="16"/>
                <w:szCs w:val="16"/>
              </w:rPr>
              <w:t>Solde de cabines à visiter</w:t>
            </w:r>
          </w:p>
        </w:tc>
        <w:tc>
          <w:tcPr>
            <w:tcW w:w="1266" w:type="dxa"/>
            <w:shd w:val="clear" w:color="auto" w:fill="BFBFBF"/>
          </w:tcPr>
          <w:p w14:paraId="4663F21E" w14:textId="24B4E6C3" w:rsidR="009A13B5" w:rsidRPr="001E10FD" w:rsidRDefault="001E10FD" w:rsidP="00AB6A0F">
            <w:pPr>
              <w:spacing w:after="0"/>
              <w:jc w:val="center"/>
              <w:rPr>
                <w:color w:val="FF0000"/>
              </w:rPr>
            </w:pPr>
            <w:r>
              <w:rPr>
                <w:color w:val="FF0000"/>
              </w:rPr>
              <w:t>67</w:t>
            </w:r>
          </w:p>
        </w:tc>
        <w:tc>
          <w:tcPr>
            <w:tcW w:w="1326" w:type="dxa"/>
            <w:shd w:val="clear" w:color="auto" w:fill="BFBFBF"/>
          </w:tcPr>
          <w:p w14:paraId="034C31E2" w14:textId="5A60EB69" w:rsidR="009A13B5" w:rsidRPr="001E10FD" w:rsidRDefault="00E5014B" w:rsidP="00AB6A0F">
            <w:pPr>
              <w:spacing w:after="0"/>
              <w:jc w:val="center"/>
              <w:rPr>
                <w:color w:val="FF0000"/>
              </w:rPr>
            </w:pPr>
            <w:r w:rsidRPr="001E10FD">
              <w:rPr>
                <w:color w:val="FF0000"/>
              </w:rPr>
              <w:t>0</w:t>
            </w:r>
          </w:p>
        </w:tc>
      </w:tr>
    </w:tbl>
    <w:p w14:paraId="4A1A6ADF" w14:textId="77777777" w:rsidR="009A13B5" w:rsidRPr="00FA7BD6" w:rsidRDefault="009A13B5" w:rsidP="009A13B5">
      <w:pPr>
        <w:spacing w:after="0" w:line="240" w:lineRule="auto"/>
        <w:rPr>
          <w:highlight w:val="cyan"/>
        </w:rPr>
      </w:pPr>
    </w:p>
    <w:p w14:paraId="7282CAAB" w14:textId="77777777" w:rsidR="009A13B5" w:rsidRPr="00FA7BD6" w:rsidRDefault="009A13B5" w:rsidP="009A13B5">
      <w:pPr>
        <w:spacing w:after="0" w:line="240" w:lineRule="auto"/>
        <w:rPr>
          <w:highlight w:val="cyan"/>
        </w:rPr>
      </w:pP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276"/>
      </w:tblGrid>
      <w:tr w:rsidR="009A13B5" w:rsidRPr="00FA7BD6" w14:paraId="33ABAE63" w14:textId="77777777" w:rsidTr="00AB6A0F">
        <w:tc>
          <w:tcPr>
            <w:tcW w:w="2410" w:type="dxa"/>
            <w:tcBorders>
              <w:top w:val="nil"/>
              <w:left w:val="nil"/>
              <w:bottom w:val="single" w:sz="4" w:space="0" w:color="auto"/>
              <w:right w:val="single" w:sz="4" w:space="0" w:color="auto"/>
            </w:tcBorders>
            <w:shd w:val="clear" w:color="auto" w:fill="auto"/>
          </w:tcPr>
          <w:p w14:paraId="1EA60446" w14:textId="77777777" w:rsidR="009A13B5" w:rsidRPr="00A71751" w:rsidRDefault="009A13B5" w:rsidP="00AB6A0F">
            <w:pPr>
              <w:spacing w:after="0" w:line="240" w:lineRule="auto"/>
            </w:pPr>
          </w:p>
        </w:tc>
        <w:tc>
          <w:tcPr>
            <w:tcW w:w="1276" w:type="dxa"/>
            <w:tcBorders>
              <w:left w:val="single" w:sz="4" w:space="0" w:color="auto"/>
            </w:tcBorders>
            <w:shd w:val="clear" w:color="auto" w:fill="2E74B5"/>
          </w:tcPr>
          <w:p w14:paraId="61FEB889" w14:textId="77777777" w:rsidR="009A13B5" w:rsidRPr="00A71751" w:rsidRDefault="009A13B5" w:rsidP="00AB6A0F">
            <w:pPr>
              <w:spacing w:after="0" w:line="240" w:lineRule="auto"/>
              <w:jc w:val="center"/>
              <w:rPr>
                <w:color w:val="FFFFFF"/>
              </w:rPr>
            </w:pPr>
            <w:r w:rsidRPr="00A71751">
              <w:rPr>
                <w:color w:val="FFFFFF"/>
              </w:rPr>
              <w:t>Cabines (%)</w:t>
            </w:r>
          </w:p>
        </w:tc>
        <w:tc>
          <w:tcPr>
            <w:tcW w:w="1276" w:type="dxa"/>
            <w:shd w:val="clear" w:color="auto" w:fill="2E74B5"/>
          </w:tcPr>
          <w:p w14:paraId="03FA4813" w14:textId="77777777" w:rsidR="009A13B5" w:rsidRPr="00A71751" w:rsidRDefault="009A13B5" w:rsidP="00AB6A0F">
            <w:pPr>
              <w:spacing w:after="0" w:line="240" w:lineRule="auto"/>
              <w:jc w:val="center"/>
              <w:rPr>
                <w:color w:val="FFFFFF"/>
              </w:rPr>
            </w:pPr>
            <w:r w:rsidRPr="00A71751">
              <w:rPr>
                <w:color w:val="FFFFFF"/>
              </w:rPr>
              <w:t>PTA (%)</w:t>
            </w:r>
          </w:p>
        </w:tc>
      </w:tr>
      <w:tr w:rsidR="009A13B5" w:rsidRPr="00FA7BD6" w14:paraId="27724B5F" w14:textId="77777777" w:rsidTr="00AB6A0F">
        <w:tc>
          <w:tcPr>
            <w:tcW w:w="2410" w:type="dxa"/>
            <w:tcBorders>
              <w:top w:val="single" w:sz="4" w:space="0" w:color="auto"/>
            </w:tcBorders>
            <w:shd w:val="clear" w:color="auto" w:fill="FF0000"/>
          </w:tcPr>
          <w:p w14:paraId="5C4DC941" w14:textId="77777777" w:rsidR="009A13B5" w:rsidRPr="00A71751" w:rsidRDefault="009A13B5" w:rsidP="00AB6A0F">
            <w:pPr>
              <w:spacing w:after="0" w:line="240" w:lineRule="auto"/>
            </w:pPr>
            <w:r w:rsidRPr="00A71751">
              <w:t>Rouge</w:t>
            </w:r>
          </w:p>
        </w:tc>
        <w:tc>
          <w:tcPr>
            <w:tcW w:w="1276" w:type="dxa"/>
            <w:shd w:val="clear" w:color="auto" w:fill="FF0000"/>
          </w:tcPr>
          <w:p w14:paraId="2F2EB2C8" w14:textId="3A802ECE" w:rsidR="009A13B5" w:rsidRPr="00A71751" w:rsidRDefault="006930E7" w:rsidP="00AB6A0F">
            <w:pPr>
              <w:spacing w:after="0"/>
              <w:jc w:val="center"/>
            </w:pPr>
            <w:r w:rsidRPr="00A71751">
              <w:t>8%</w:t>
            </w:r>
          </w:p>
        </w:tc>
        <w:tc>
          <w:tcPr>
            <w:tcW w:w="1276" w:type="dxa"/>
            <w:shd w:val="clear" w:color="auto" w:fill="FF0000"/>
          </w:tcPr>
          <w:p w14:paraId="2D8D7946" w14:textId="4B210EBE" w:rsidR="009A13B5" w:rsidRPr="00A71751" w:rsidRDefault="009534F8" w:rsidP="00AB6A0F">
            <w:pPr>
              <w:spacing w:after="0"/>
              <w:jc w:val="center"/>
            </w:pPr>
            <w:r w:rsidRPr="00A71751">
              <w:t>15%</w:t>
            </w:r>
          </w:p>
        </w:tc>
      </w:tr>
      <w:tr w:rsidR="009A13B5" w:rsidRPr="00FA7BD6" w14:paraId="24EA3D9B" w14:textId="77777777" w:rsidTr="00AB6A0F">
        <w:tc>
          <w:tcPr>
            <w:tcW w:w="2410" w:type="dxa"/>
            <w:shd w:val="clear" w:color="auto" w:fill="FFC000"/>
          </w:tcPr>
          <w:p w14:paraId="66C2464A" w14:textId="77777777" w:rsidR="009A13B5" w:rsidRPr="00A71751" w:rsidRDefault="009A13B5" w:rsidP="00AB6A0F">
            <w:pPr>
              <w:spacing w:after="0" w:line="240" w:lineRule="auto"/>
            </w:pPr>
            <w:r w:rsidRPr="00A71751">
              <w:t>Orange</w:t>
            </w:r>
          </w:p>
        </w:tc>
        <w:tc>
          <w:tcPr>
            <w:tcW w:w="1276" w:type="dxa"/>
            <w:shd w:val="clear" w:color="auto" w:fill="FFC000"/>
          </w:tcPr>
          <w:p w14:paraId="460F695D" w14:textId="0910F9C1" w:rsidR="009A13B5" w:rsidRPr="00A71751" w:rsidRDefault="00EB6010" w:rsidP="00AB6A0F">
            <w:pPr>
              <w:spacing w:after="0"/>
              <w:jc w:val="center"/>
            </w:pPr>
            <w:r w:rsidRPr="00A71751">
              <w:t>36%</w:t>
            </w:r>
          </w:p>
        </w:tc>
        <w:tc>
          <w:tcPr>
            <w:tcW w:w="1276" w:type="dxa"/>
            <w:shd w:val="clear" w:color="auto" w:fill="FFC000"/>
          </w:tcPr>
          <w:p w14:paraId="5849DE83" w14:textId="158C2829" w:rsidR="009A13B5" w:rsidRPr="00A71751" w:rsidRDefault="009534F8" w:rsidP="00AB6A0F">
            <w:pPr>
              <w:spacing w:after="0"/>
              <w:jc w:val="center"/>
            </w:pPr>
            <w:r w:rsidRPr="00A71751">
              <w:t>52%</w:t>
            </w:r>
          </w:p>
        </w:tc>
      </w:tr>
      <w:tr w:rsidR="009A13B5" w14:paraId="67E92E3E" w14:textId="77777777" w:rsidTr="00AB6A0F">
        <w:tc>
          <w:tcPr>
            <w:tcW w:w="2410" w:type="dxa"/>
            <w:shd w:val="clear" w:color="auto" w:fill="C5E0B3"/>
          </w:tcPr>
          <w:p w14:paraId="494A1A02" w14:textId="77777777" w:rsidR="009A13B5" w:rsidRPr="00A71751" w:rsidRDefault="009A13B5" w:rsidP="00AB6A0F">
            <w:pPr>
              <w:spacing w:after="0" w:line="240" w:lineRule="auto"/>
            </w:pPr>
            <w:r w:rsidRPr="00A71751">
              <w:t>Vert</w:t>
            </w:r>
          </w:p>
        </w:tc>
        <w:tc>
          <w:tcPr>
            <w:tcW w:w="1276" w:type="dxa"/>
            <w:shd w:val="clear" w:color="auto" w:fill="C5E0B3"/>
          </w:tcPr>
          <w:p w14:paraId="3AD48922" w14:textId="12328896" w:rsidR="009A13B5" w:rsidRPr="00A71751" w:rsidRDefault="00EB6010" w:rsidP="00AB6A0F">
            <w:pPr>
              <w:spacing w:after="0"/>
              <w:jc w:val="center"/>
            </w:pPr>
            <w:r w:rsidRPr="00A71751">
              <w:t>56%</w:t>
            </w:r>
          </w:p>
        </w:tc>
        <w:tc>
          <w:tcPr>
            <w:tcW w:w="1276" w:type="dxa"/>
            <w:shd w:val="clear" w:color="auto" w:fill="C5E0B3"/>
          </w:tcPr>
          <w:p w14:paraId="069D9EFE" w14:textId="7B628653" w:rsidR="009A13B5" w:rsidRPr="00A71751" w:rsidRDefault="00EB6010" w:rsidP="00AB6A0F">
            <w:pPr>
              <w:spacing w:after="0"/>
              <w:jc w:val="center"/>
            </w:pPr>
            <w:r w:rsidRPr="00A71751">
              <w:t>33%</w:t>
            </w:r>
          </w:p>
        </w:tc>
      </w:tr>
    </w:tbl>
    <w:p w14:paraId="456CC195" w14:textId="77777777" w:rsidR="009A13B5" w:rsidRDefault="009A13B5" w:rsidP="0086254A">
      <w:pPr>
        <w:rPr>
          <w:rFonts w:ascii="Verdana" w:hAnsi="Verdana"/>
        </w:rPr>
      </w:pPr>
    </w:p>
    <w:p w14:paraId="49E76DE5" w14:textId="7EB89C2A" w:rsidR="000F46AF" w:rsidRDefault="000F46AF">
      <w:pPr>
        <w:rPr>
          <w:rFonts w:ascii="Verdana" w:hAnsi="Verdana"/>
        </w:rPr>
      </w:pPr>
      <w:r>
        <w:rPr>
          <w:rFonts w:ascii="Verdana" w:hAnsi="Verdana"/>
        </w:rPr>
        <w:br w:type="page"/>
      </w:r>
    </w:p>
    <w:p w14:paraId="4E6FD26B" w14:textId="3AC2E23C" w:rsidR="009C0E95" w:rsidRDefault="009C0E95" w:rsidP="006B2B09">
      <w:pPr>
        <w:pStyle w:val="AIEG3"/>
      </w:pPr>
      <w:r>
        <w:lastRenderedPageBreak/>
        <w:t>Environnement</w:t>
      </w:r>
    </w:p>
    <w:p w14:paraId="32E81FC0" w14:textId="0068E5A3" w:rsidR="009C0E95" w:rsidRPr="00A161EB" w:rsidRDefault="009C0E95" w:rsidP="006B2B09">
      <w:pPr>
        <w:pStyle w:val="aieg4"/>
        <w:rPr>
          <w:b w:val="0"/>
        </w:rPr>
      </w:pPr>
      <w:r>
        <w:t>Politique générale</w:t>
      </w:r>
    </w:p>
    <w:p w14:paraId="1CE38FA3" w14:textId="77777777" w:rsidR="00F80F73" w:rsidRDefault="00F80F73" w:rsidP="003F0EA4">
      <w:pPr>
        <w:pStyle w:val="AIEG2"/>
        <w:numPr>
          <w:ilvl w:val="0"/>
          <w:numId w:val="0"/>
        </w:numPr>
        <w:rPr>
          <w:b w:val="0"/>
          <w:color w:val="auto"/>
          <w:sz w:val="22"/>
          <w:szCs w:val="22"/>
        </w:rPr>
      </w:pPr>
    </w:p>
    <w:p w14:paraId="47575D7B" w14:textId="77777777" w:rsidR="00F80F73" w:rsidRDefault="00F80F73" w:rsidP="00A161EB">
      <w:pPr>
        <w:pStyle w:val="AIEG2"/>
        <w:numPr>
          <w:ilvl w:val="0"/>
          <w:numId w:val="0"/>
        </w:numPr>
        <w:rPr>
          <w:b w:val="0"/>
          <w:color w:val="auto"/>
          <w:sz w:val="22"/>
          <w:szCs w:val="22"/>
        </w:rPr>
      </w:pPr>
    </w:p>
    <w:p w14:paraId="32AA297A" w14:textId="77777777" w:rsidR="001A34DA" w:rsidRDefault="006D456E" w:rsidP="00371937">
      <w:pPr>
        <w:pStyle w:val="AIEG2"/>
        <w:numPr>
          <w:ilvl w:val="0"/>
          <w:numId w:val="0"/>
        </w:numPr>
        <w:jc w:val="both"/>
        <w:rPr>
          <w:b w:val="0"/>
          <w:color w:val="auto"/>
          <w:sz w:val="24"/>
        </w:rPr>
      </w:pPr>
      <w:r w:rsidRPr="00371937">
        <w:rPr>
          <w:b w:val="0"/>
          <w:color w:val="auto"/>
          <w:sz w:val="24"/>
        </w:rPr>
        <w:t xml:space="preserve">L’AIEG mène depuis plusieurs années une politique proactive d’amélioration environnementale, articulée principalement autour de l’enfouissement progressif des lignes HT et BT, de la modernisation des équipements et de la réduction de l’empreinte écologique de ses installations. Cette politique, intégrée au plan d’adaptation du réseau, poursuit plusieurs objectifs : </w:t>
      </w:r>
    </w:p>
    <w:p w14:paraId="11DD9220" w14:textId="77777777" w:rsidR="001A34DA" w:rsidRDefault="001A34DA" w:rsidP="00371937">
      <w:pPr>
        <w:pStyle w:val="AIEG2"/>
        <w:numPr>
          <w:ilvl w:val="0"/>
          <w:numId w:val="0"/>
        </w:numPr>
        <w:jc w:val="both"/>
        <w:rPr>
          <w:b w:val="0"/>
          <w:color w:val="auto"/>
          <w:sz w:val="24"/>
        </w:rPr>
      </w:pPr>
    </w:p>
    <w:p w14:paraId="11864D73" w14:textId="77777777" w:rsidR="001A34DA" w:rsidRDefault="006D456E" w:rsidP="00371937">
      <w:pPr>
        <w:pStyle w:val="AIEG2"/>
        <w:numPr>
          <w:ilvl w:val="0"/>
          <w:numId w:val="0"/>
        </w:numPr>
        <w:jc w:val="both"/>
        <w:rPr>
          <w:b w:val="0"/>
          <w:color w:val="auto"/>
          <w:sz w:val="24"/>
        </w:rPr>
      </w:pPr>
      <w:proofErr w:type="gramStart"/>
      <w:r w:rsidRPr="00371937">
        <w:rPr>
          <w:b w:val="0"/>
          <w:color w:val="auto"/>
          <w:sz w:val="24"/>
        </w:rPr>
        <w:t>réduction</w:t>
      </w:r>
      <w:proofErr w:type="gramEnd"/>
      <w:r w:rsidRPr="00371937">
        <w:rPr>
          <w:b w:val="0"/>
          <w:color w:val="auto"/>
          <w:sz w:val="24"/>
        </w:rPr>
        <w:t xml:space="preserve"> de l’impact visuel, amélioration de la sécurité publique, résilience accrue face aux conditions climatiques, et optimisation de l’efficacité énergétique.  En moyenne tension, les efforts se concentrent sur l’enfouissement systématique des lignes vétustes, en particulier les tronçons en cuivre nu ou en papier plomb. Ces câbles obsolètes sont remplacés par des câbles en PRC, reconnus pour leur robustesse, leur fiabilité et leur durée de vie prolongée. L’AIEG a également engagé un processus d’uniformisation des sections de câbles MT, privilégiant les sections normalisées suivantes :</w:t>
      </w:r>
    </w:p>
    <w:p w14:paraId="44EF3DF0" w14:textId="77777777" w:rsidR="001A34DA" w:rsidRDefault="001A34DA" w:rsidP="00371937">
      <w:pPr>
        <w:pStyle w:val="AIEG2"/>
        <w:numPr>
          <w:ilvl w:val="0"/>
          <w:numId w:val="0"/>
        </w:numPr>
        <w:jc w:val="both"/>
        <w:rPr>
          <w:b w:val="0"/>
          <w:color w:val="auto"/>
          <w:sz w:val="24"/>
        </w:rPr>
      </w:pPr>
    </w:p>
    <w:p w14:paraId="7D4DF49C" w14:textId="77777777" w:rsidR="001A34DA" w:rsidRDefault="006D456E" w:rsidP="00371937">
      <w:pPr>
        <w:pStyle w:val="AIEG2"/>
        <w:numPr>
          <w:ilvl w:val="0"/>
          <w:numId w:val="0"/>
        </w:numPr>
        <w:jc w:val="both"/>
        <w:rPr>
          <w:b w:val="0"/>
          <w:color w:val="auto"/>
          <w:sz w:val="24"/>
        </w:rPr>
      </w:pPr>
      <w:r w:rsidRPr="00371937">
        <w:rPr>
          <w:b w:val="0"/>
          <w:color w:val="auto"/>
          <w:sz w:val="24"/>
        </w:rPr>
        <w:t xml:space="preserve"> 95 mm² en aluminium et cuivre, 240 mm² et 400 mm² en aluminium. </w:t>
      </w:r>
    </w:p>
    <w:p w14:paraId="56ECEEEB" w14:textId="77777777" w:rsidR="001A34DA" w:rsidRDefault="001A34DA" w:rsidP="00371937">
      <w:pPr>
        <w:pStyle w:val="AIEG2"/>
        <w:numPr>
          <w:ilvl w:val="0"/>
          <w:numId w:val="0"/>
        </w:numPr>
        <w:jc w:val="both"/>
        <w:rPr>
          <w:b w:val="0"/>
          <w:color w:val="auto"/>
          <w:sz w:val="24"/>
        </w:rPr>
      </w:pPr>
    </w:p>
    <w:p w14:paraId="5B6F188E" w14:textId="77777777" w:rsidR="001A34DA" w:rsidRDefault="006D456E" w:rsidP="00371937">
      <w:pPr>
        <w:pStyle w:val="AIEG2"/>
        <w:numPr>
          <w:ilvl w:val="0"/>
          <w:numId w:val="0"/>
        </w:numPr>
        <w:jc w:val="both"/>
        <w:rPr>
          <w:b w:val="0"/>
          <w:color w:val="auto"/>
          <w:sz w:val="24"/>
        </w:rPr>
      </w:pPr>
      <w:r w:rsidRPr="00371937">
        <w:rPr>
          <w:b w:val="0"/>
          <w:color w:val="auto"/>
          <w:sz w:val="24"/>
        </w:rPr>
        <w:t xml:space="preserve">Cette standardisation permet de faciliter les raccordements, de réduire les pertes en ligne et d’améliorer la gestion des stocks.  L’alimentation des postes de transformation aériens est elle aussi repensée, avec une transition vers des alimentations en boîte à boîte et l’installation d’armoires enterrées intégrant des équipements de coupure en charge. Cette solution permet de réduire l’encombrement aérien, tout en augmentant la sécurité et la souplesse d’exploitation. En parallèle, l’AIEG privilégie l’installation de cellules MT modulaires, permettant le remplacement individuel d’une cellule défaillante sans devoir désaffecter l’ensemble de l’installation, limitant ainsi les déchets techniques et les interruptions prolongées.  En basse tension, l’AIEG s’est engagée dans un démantèlement progressif des lignes en cuivre nu, jugées à la fois esthétiquement inadaptées et techniquement dépassées. Lors de projets d’enfouissement de la HT, des feeders BT en 150 mm² aluminium sont posés en parallèle pour garantir la continuité et la qualité d’alimentation. Le raccordement des utilisateurs est réalisé avec des câbles en cuivre </w:t>
      </w:r>
      <w:proofErr w:type="spellStart"/>
      <w:r w:rsidRPr="00371937">
        <w:rPr>
          <w:b w:val="0"/>
          <w:color w:val="auto"/>
          <w:sz w:val="24"/>
        </w:rPr>
        <w:t>ExVB</w:t>
      </w:r>
      <w:proofErr w:type="spellEnd"/>
      <w:r w:rsidRPr="00371937">
        <w:rPr>
          <w:b w:val="0"/>
          <w:color w:val="auto"/>
          <w:sz w:val="24"/>
        </w:rPr>
        <w:t xml:space="preserve"> 16 mm², assurant robustesse et durabilité. </w:t>
      </w:r>
    </w:p>
    <w:p w14:paraId="416BB8F7" w14:textId="77777777" w:rsidR="001A34DA" w:rsidRDefault="001A34DA" w:rsidP="00371937">
      <w:pPr>
        <w:pStyle w:val="AIEG2"/>
        <w:numPr>
          <w:ilvl w:val="0"/>
          <w:numId w:val="0"/>
        </w:numPr>
        <w:jc w:val="both"/>
        <w:rPr>
          <w:b w:val="0"/>
          <w:color w:val="auto"/>
          <w:sz w:val="24"/>
        </w:rPr>
      </w:pPr>
    </w:p>
    <w:p w14:paraId="1B221F17" w14:textId="500DEDE1" w:rsidR="00F80F73" w:rsidRPr="00371937" w:rsidRDefault="006D456E" w:rsidP="00371937">
      <w:pPr>
        <w:pStyle w:val="AIEG2"/>
        <w:numPr>
          <w:ilvl w:val="0"/>
          <w:numId w:val="0"/>
        </w:numPr>
        <w:jc w:val="both"/>
        <w:rPr>
          <w:b w:val="0"/>
          <w:color w:val="auto"/>
          <w:sz w:val="24"/>
        </w:rPr>
      </w:pPr>
      <w:r w:rsidRPr="00371937">
        <w:rPr>
          <w:b w:val="0"/>
          <w:color w:val="auto"/>
          <w:sz w:val="24"/>
        </w:rPr>
        <w:t xml:space="preserve">Enfin, l’AIEG installe systématiquement des transformateurs à pertes réduites, contribuant à la diminution des pertes réseau et, par conséquent, à la réduction des émissions indirectes de CO₂.  Toutes ces actions sont </w:t>
      </w:r>
      <w:r w:rsidRPr="00371937">
        <w:rPr>
          <w:b w:val="0"/>
          <w:color w:val="auto"/>
          <w:sz w:val="24"/>
        </w:rPr>
        <w:lastRenderedPageBreak/>
        <w:t>quantifiées dans les tableaux budgétaires et techniques du plan d’adaptation, et s’inscrivent dans une volonté claire de concilier performance réseau et responsabilité environnementale, en cohérence avec les objectifs régionaux de transition énergétique.</w:t>
      </w:r>
    </w:p>
    <w:p w14:paraId="038B98B0" w14:textId="77777777" w:rsidR="00A161EB" w:rsidRPr="00A161EB" w:rsidRDefault="00A161EB" w:rsidP="00A161EB">
      <w:pPr>
        <w:pStyle w:val="AIEG2"/>
        <w:numPr>
          <w:ilvl w:val="0"/>
          <w:numId w:val="0"/>
        </w:numPr>
        <w:rPr>
          <w:b w:val="0"/>
          <w:color w:val="auto"/>
          <w:sz w:val="22"/>
          <w:szCs w:val="22"/>
        </w:rPr>
      </w:pPr>
    </w:p>
    <w:p w14:paraId="3C53C3FC" w14:textId="77777777" w:rsidR="007249A6" w:rsidRDefault="007249A6" w:rsidP="000F46AF">
      <w:pPr>
        <w:rPr>
          <w:rFonts w:ascii="Verdana" w:hAnsi="Verdana"/>
          <w:b/>
          <w:i/>
          <w:sz w:val="20"/>
          <w:szCs w:val="20"/>
        </w:rPr>
      </w:pPr>
    </w:p>
    <w:p w14:paraId="7AF6536B" w14:textId="47B3CAC7" w:rsidR="009C0E95" w:rsidRDefault="009C0E95" w:rsidP="006B2B09">
      <w:pPr>
        <w:pStyle w:val="aieg4"/>
        <w:rPr>
          <w:b w:val="0"/>
        </w:rPr>
      </w:pPr>
      <w:proofErr w:type="gramStart"/>
      <w:r>
        <w:t>actions</w:t>
      </w:r>
      <w:proofErr w:type="gramEnd"/>
      <w:r>
        <w:t xml:space="preserve"> spécifiques </w:t>
      </w:r>
    </w:p>
    <w:p w14:paraId="56EB3A90" w14:textId="77777777" w:rsidR="000F46AF" w:rsidRDefault="000F46AF" w:rsidP="009C0E95">
      <w:pPr>
        <w:ind w:left="1701"/>
        <w:rPr>
          <w:rFonts w:ascii="Verdana" w:hAnsi="Verdana"/>
          <w:b/>
          <w:i/>
          <w:sz w:val="20"/>
          <w:szCs w:val="20"/>
        </w:rPr>
      </w:pPr>
      <w:r>
        <w:rPr>
          <w:rFonts w:ascii="Verdana" w:hAnsi="Verdana"/>
          <w:b/>
          <w:i/>
          <w:sz w:val="20"/>
          <w:szCs w:val="20"/>
        </w:rPr>
        <w:t xml:space="preserve">Néant </w:t>
      </w:r>
    </w:p>
    <w:p w14:paraId="1932888C" w14:textId="77777777" w:rsidR="000F46AF" w:rsidRDefault="000F46AF" w:rsidP="009C0E95">
      <w:pPr>
        <w:ind w:left="1701"/>
        <w:rPr>
          <w:rFonts w:ascii="Verdana" w:hAnsi="Verdana"/>
          <w:b/>
          <w:i/>
          <w:sz w:val="20"/>
          <w:szCs w:val="20"/>
        </w:rPr>
      </w:pPr>
    </w:p>
    <w:p w14:paraId="42AD1B5B" w14:textId="77777777" w:rsidR="00307827" w:rsidRDefault="00307827">
      <w:pPr>
        <w:rPr>
          <w:rFonts w:ascii="Verdana" w:hAnsi="Verdana"/>
        </w:rPr>
      </w:pPr>
      <w:r>
        <w:rPr>
          <w:rFonts w:ascii="Verdana" w:hAnsi="Verdana"/>
        </w:rPr>
        <w:br w:type="page"/>
      </w:r>
    </w:p>
    <w:p w14:paraId="05FF4A41" w14:textId="28B3E499" w:rsidR="009C0E95" w:rsidRDefault="00FF2E54" w:rsidP="00800955">
      <w:pPr>
        <w:pStyle w:val="AIEG3"/>
      </w:pPr>
      <w:r>
        <w:lastRenderedPageBreak/>
        <w:t>Harmonisation des plans de tension</w:t>
      </w:r>
    </w:p>
    <w:p w14:paraId="7AB47D4B" w14:textId="77777777" w:rsidR="005C17AA" w:rsidRDefault="005C17AA" w:rsidP="00C6045F">
      <w:pPr>
        <w:rPr>
          <w:rFonts w:ascii="Verdana" w:hAnsi="Verdana"/>
        </w:rPr>
      </w:pPr>
    </w:p>
    <w:p w14:paraId="1FFD56D6" w14:textId="77777777" w:rsidR="005C17AA" w:rsidRPr="005C17AA" w:rsidRDefault="005C17AA" w:rsidP="00371937">
      <w:pPr>
        <w:jc w:val="both"/>
        <w:rPr>
          <w:rFonts w:ascii="Verdana" w:hAnsi="Verdana"/>
          <w:sz w:val="24"/>
          <w:szCs w:val="24"/>
        </w:rPr>
      </w:pPr>
      <w:r w:rsidRPr="005C17AA">
        <w:rPr>
          <w:rFonts w:ascii="Verdana" w:hAnsi="Verdana"/>
          <w:sz w:val="24"/>
          <w:szCs w:val="24"/>
        </w:rPr>
        <w:t xml:space="preserve">En matière de </w:t>
      </w:r>
      <w:r w:rsidRPr="005C17AA">
        <w:rPr>
          <w:rFonts w:ascii="Verdana" w:hAnsi="Verdana"/>
          <w:b/>
          <w:bCs/>
          <w:sz w:val="24"/>
          <w:szCs w:val="24"/>
        </w:rPr>
        <w:t>réseaux Moyenne Tension (MT)</w:t>
      </w:r>
      <w:r w:rsidRPr="005C17AA">
        <w:rPr>
          <w:rFonts w:ascii="Verdana" w:hAnsi="Verdana"/>
          <w:sz w:val="24"/>
          <w:szCs w:val="24"/>
        </w:rPr>
        <w:t xml:space="preserve">, l’AIEG assure l’exploitation et la maintenance de deux niveaux de tension distincts : </w:t>
      </w:r>
      <w:r w:rsidRPr="005C17AA">
        <w:rPr>
          <w:rFonts w:ascii="Verdana" w:hAnsi="Verdana"/>
          <w:b/>
          <w:bCs/>
          <w:sz w:val="24"/>
          <w:szCs w:val="24"/>
        </w:rPr>
        <w:t>11,5 kV</w:t>
      </w:r>
      <w:r w:rsidRPr="005C17AA">
        <w:rPr>
          <w:rFonts w:ascii="Verdana" w:hAnsi="Verdana"/>
          <w:sz w:val="24"/>
          <w:szCs w:val="24"/>
        </w:rPr>
        <w:t xml:space="preserve"> et </w:t>
      </w:r>
      <w:r w:rsidRPr="005C17AA">
        <w:rPr>
          <w:rFonts w:ascii="Verdana" w:hAnsi="Verdana"/>
          <w:b/>
          <w:bCs/>
          <w:sz w:val="24"/>
          <w:szCs w:val="24"/>
        </w:rPr>
        <w:t>15 kV</w:t>
      </w:r>
      <w:r w:rsidRPr="005C17AA">
        <w:rPr>
          <w:rFonts w:ascii="Verdana" w:hAnsi="Verdana"/>
          <w:sz w:val="24"/>
          <w:szCs w:val="24"/>
        </w:rPr>
        <w:t xml:space="preserve">. Cette coexistence est historiquement liée à l’évolution du réseau et à la provenance des sources d’alimentation. Néanmoins, aucun </w:t>
      </w:r>
      <w:r w:rsidRPr="005C17AA">
        <w:rPr>
          <w:rFonts w:ascii="Verdana" w:hAnsi="Verdana"/>
          <w:b/>
          <w:bCs/>
          <w:sz w:val="24"/>
          <w:szCs w:val="24"/>
        </w:rPr>
        <w:t>problème d’harmonisation ou d’interopérabilité</w:t>
      </w:r>
      <w:r w:rsidRPr="005C17AA">
        <w:rPr>
          <w:rFonts w:ascii="Verdana" w:hAnsi="Verdana"/>
          <w:sz w:val="24"/>
          <w:szCs w:val="24"/>
        </w:rPr>
        <w:t xml:space="preserve"> n’est constaté entre ces deux réseaux. Les installations sont conçues pour fonctionner de manière </w:t>
      </w:r>
      <w:r w:rsidRPr="005C17AA">
        <w:rPr>
          <w:rFonts w:ascii="Verdana" w:hAnsi="Verdana"/>
          <w:b/>
          <w:bCs/>
          <w:sz w:val="24"/>
          <w:szCs w:val="24"/>
        </w:rPr>
        <w:t>parfaitement compartimentée</w:t>
      </w:r>
      <w:r w:rsidRPr="005C17AA">
        <w:rPr>
          <w:rFonts w:ascii="Verdana" w:hAnsi="Verdana"/>
          <w:sz w:val="24"/>
          <w:szCs w:val="24"/>
        </w:rPr>
        <w:t>, et les équipements utilisés (transformateurs, cellules, protections) sont adaptés à chaque niveau de tension. Les procédures d’exploitation garantissent une gestion efficace et sécurisée de ces deux réseaux, sans impact négatif sur la continuité de service ou la fiabilité de l’alimentation.</w:t>
      </w:r>
    </w:p>
    <w:p w14:paraId="54F90A1C" w14:textId="77777777" w:rsidR="005C17AA" w:rsidRPr="005C17AA" w:rsidRDefault="005C17AA" w:rsidP="00371937">
      <w:pPr>
        <w:jc w:val="both"/>
        <w:rPr>
          <w:rFonts w:ascii="Verdana" w:hAnsi="Verdana"/>
          <w:sz w:val="24"/>
          <w:szCs w:val="24"/>
        </w:rPr>
      </w:pPr>
      <w:r w:rsidRPr="005C17AA">
        <w:rPr>
          <w:rFonts w:ascii="Verdana" w:hAnsi="Verdana"/>
          <w:sz w:val="24"/>
          <w:szCs w:val="24"/>
        </w:rPr>
        <w:t xml:space="preserve">En ce qui concerne la </w:t>
      </w:r>
      <w:r w:rsidRPr="005C17AA">
        <w:rPr>
          <w:rFonts w:ascii="Verdana" w:hAnsi="Verdana"/>
          <w:b/>
          <w:bCs/>
          <w:sz w:val="24"/>
          <w:szCs w:val="24"/>
        </w:rPr>
        <w:t>Basse Tension (BT)</w:t>
      </w:r>
      <w:r w:rsidRPr="005C17AA">
        <w:rPr>
          <w:rFonts w:ascii="Verdana" w:hAnsi="Verdana"/>
          <w:sz w:val="24"/>
          <w:szCs w:val="24"/>
        </w:rPr>
        <w:t xml:space="preserve">, l’AIEG gère un parc mixte composé de réseaux </w:t>
      </w:r>
      <w:r w:rsidRPr="005C17AA">
        <w:rPr>
          <w:rFonts w:ascii="Verdana" w:hAnsi="Verdana"/>
          <w:b/>
          <w:bCs/>
          <w:sz w:val="24"/>
          <w:szCs w:val="24"/>
        </w:rPr>
        <w:t>3x230 V sans neutre</w:t>
      </w:r>
      <w:r w:rsidRPr="005C17AA">
        <w:rPr>
          <w:rFonts w:ascii="Verdana" w:hAnsi="Verdana"/>
          <w:sz w:val="24"/>
          <w:szCs w:val="24"/>
        </w:rPr>
        <w:t xml:space="preserve"> (configuration traditionnelle) et de réseaux </w:t>
      </w:r>
      <w:r w:rsidRPr="005C17AA">
        <w:rPr>
          <w:rFonts w:ascii="Verdana" w:hAnsi="Verdana"/>
          <w:b/>
          <w:bCs/>
          <w:sz w:val="24"/>
          <w:szCs w:val="24"/>
        </w:rPr>
        <w:t>3x400 V + Neutre</w:t>
      </w:r>
      <w:r w:rsidRPr="005C17AA">
        <w:rPr>
          <w:rFonts w:ascii="Verdana" w:hAnsi="Verdana"/>
          <w:sz w:val="24"/>
          <w:szCs w:val="24"/>
        </w:rPr>
        <w:t xml:space="preserve">, progressivement étendus dans les nouvelles zones de développement. Cette diversité technologique, bien que courante en Wallonie, peut générer des </w:t>
      </w:r>
      <w:r w:rsidRPr="005C17AA">
        <w:rPr>
          <w:rFonts w:ascii="Verdana" w:hAnsi="Verdana"/>
          <w:b/>
          <w:bCs/>
          <w:sz w:val="24"/>
          <w:szCs w:val="24"/>
        </w:rPr>
        <w:t>contraintes techniques</w:t>
      </w:r>
      <w:r w:rsidRPr="005C17AA">
        <w:rPr>
          <w:rFonts w:ascii="Verdana" w:hAnsi="Verdana"/>
          <w:sz w:val="24"/>
          <w:szCs w:val="24"/>
        </w:rPr>
        <w:t xml:space="preserve"> pour certains équipements, notamment ceux nécessitant un neutre pour fonctionner correctement. C’est pourquoi l’AIEG encourage activement, </w:t>
      </w:r>
      <w:r w:rsidRPr="005C17AA">
        <w:rPr>
          <w:rFonts w:ascii="Verdana" w:hAnsi="Verdana"/>
          <w:b/>
          <w:bCs/>
          <w:sz w:val="24"/>
          <w:szCs w:val="24"/>
        </w:rPr>
        <w:t>dans la mesure du possible</w:t>
      </w:r>
      <w:r w:rsidRPr="005C17AA">
        <w:rPr>
          <w:rFonts w:ascii="Verdana" w:hAnsi="Verdana"/>
          <w:sz w:val="24"/>
          <w:szCs w:val="24"/>
        </w:rPr>
        <w:t xml:space="preserve">, les utilisateurs raccordés au réseau BT à opter pour un </w:t>
      </w:r>
      <w:r w:rsidRPr="005C17AA">
        <w:rPr>
          <w:rFonts w:ascii="Verdana" w:hAnsi="Verdana"/>
          <w:b/>
          <w:bCs/>
          <w:sz w:val="24"/>
          <w:szCs w:val="24"/>
        </w:rPr>
        <w:t>raccordement triphasé</w:t>
      </w:r>
      <w:r w:rsidRPr="005C17AA">
        <w:rPr>
          <w:rFonts w:ascii="Verdana" w:hAnsi="Verdana"/>
          <w:sz w:val="24"/>
          <w:szCs w:val="24"/>
        </w:rPr>
        <w:t>, particulièrement adapté à la stabilité des charges et à l’essor des équipements énergivores (pompes à chaleur, bornes de recharge pour véhicules électriques, installations de production décentralisée).</w:t>
      </w:r>
    </w:p>
    <w:p w14:paraId="7105C11D" w14:textId="77777777" w:rsidR="005C17AA" w:rsidRPr="005C17AA" w:rsidRDefault="005C17AA" w:rsidP="00371937">
      <w:pPr>
        <w:jc w:val="both"/>
        <w:rPr>
          <w:rFonts w:ascii="Verdana" w:hAnsi="Verdana"/>
          <w:sz w:val="24"/>
          <w:szCs w:val="24"/>
        </w:rPr>
      </w:pPr>
      <w:r w:rsidRPr="005C17AA">
        <w:rPr>
          <w:rFonts w:ascii="Verdana" w:hAnsi="Verdana"/>
          <w:sz w:val="24"/>
          <w:szCs w:val="24"/>
        </w:rPr>
        <w:t xml:space="preserve">Afin de </w:t>
      </w:r>
      <w:r w:rsidRPr="005C17AA">
        <w:rPr>
          <w:rFonts w:ascii="Verdana" w:hAnsi="Verdana"/>
          <w:b/>
          <w:bCs/>
          <w:sz w:val="24"/>
          <w:szCs w:val="24"/>
        </w:rPr>
        <w:t>stimuler cette évolution vers des configurations plus robustes</w:t>
      </w:r>
      <w:r w:rsidRPr="005C17AA">
        <w:rPr>
          <w:rFonts w:ascii="Verdana" w:hAnsi="Verdana"/>
          <w:sz w:val="24"/>
          <w:szCs w:val="24"/>
        </w:rPr>
        <w:t xml:space="preserve">, l’AIEG applique une </w:t>
      </w:r>
      <w:r w:rsidRPr="005C17AA">
        <w:rPr>
          <w:rFonts w:ascii="Verdana" w:hAnsi="Verdana"/>
          <w:b/>
          <w:bCs/>
          <w:sz w:val="24"/>
          <w:szCs w:val="24"/>
        </w:rPr>
        <w:t>politique tarifaire incitative</w:t>
      </w:r>
      <w:r w:rsidRPr="005C17AA">
        <w:rPr>
          <w:rFonts w:ascii="Verdana" w:hAnsi="Verdana"/>
          <w:sz w:val="24"/>
          <w:szCs w:val="24"/>
        </w:rPr>
        <w:t xml:space="preserve">. À titre d’exemple, pour une puissance équivalente, le </w:t>
      </w:r>
      <w:r w:rsidRPr="005C17AA">
        <w:rPr>
          <w:rFonts w:ascii="Verdana" w:hAnsi="Verdana"/>
          <w:b/>
          <w:bCs/>
          <w:sz w:val="24"/>
          <w:szCs w:val="24"/>
        </w:rPr>
        <w:t>coût d’un raccordement triphasé</w:t>
      </w:r>
      <w:r w:rsidRPr="005C17AA">
        <w:rPr>
          <w:rFonts w:ascii="Verdana" w:hAnsi="Verdana"/>
          <w:sz w:val="24"/>
          <w:szCs w:val="24"/>
        </w:rPr>
        <w:t xml:space="preserve"> est </w:t>
      </w:r>
      <w:r w:rsidRPr="005C17AA">
        <w:rPr>
          <w:rFonts w:ascii="Verdana" w:hAnsi="Verdana"/>
          <w:b/>
          <w:bCs/>
          <w:sz w:val="24"/>
          <w:szCs w:val="24"/>
        </w:rPr>
        <w:t>seulement de 40 € supérieur</w:t>
      </w:r>
      <w:r w:rsidRPr="005C17AA">
        <w:rPr>
          <w:rFonts w:ascii="Verdana" w:hAnsi="Verdana"/>
          <w:sz w:val="24"/>
          <w:szCs w:val="24"/>
        </w:rPr>
        <w:t xml:space="preserve"> à celui d’un raccordement monophasé, ce qui représente un surcoût négligeable au regard des bénéfices techniques à long terme. Cette démarche vise à </w:t>
      </w:r>
      <w:r w:rsidRPr="005C17AA">
        <w:rPr>
          <w:rFonts w:ascii="Verdana" w:hAnsi="Verdana"/>
          <w:b/>
          <w:bCs/>
          <w:sz w:val="24"/>
          <w:szCs w:val="24"/>
        </w:rPr>
        <w:t>préparer le réseau basse tension aux nouveaux usages électriques</w:t>
      </w:r>
      <w:r w:rsidRPr="005C17AA">
        <w:rPr>
          <w:rFonts w:ascii="Verdana" w:hAnsi="Verdana"/>
          <w:sz w:val="24"/>
          <w:szCs w:val="24"/>
        </w:rPr>
        <w:t xml:space="preserve">, à </w:t>
      </w:r>
      <w:r w:rsidRPr="005C17AA">
        <w:rPr>
          <w:rFonts w:ascii="Verdana" w:hAnsi="Verdana"/>
          <w:b/>
          <w:bCs/>
          <w:sz w:val="24"/>
          <w:szCs w:val="24"/>
        </w:rPr>
        <w:t>réduire les déséquilibres de phases</w:t>
      </w:r>
      <w:r w:rsidRPr="005C17AA">
        <w:rPr>
          <w:rFonts w:ascii="Verdana" w:hAnsi="Verdana"/>
          <w:sz w:val="24"/>
          <w:szCs w:val="24"/>
        </w:rPr>
        <w:t xml:space="preserve"> et à </w:t>
      </w:r>
      <w:r w:rsidRPr="005C17AA">
        <w:rPr>
          <w:rFonts w:ascii="Verdana" w:hAnsi="Verdana"/>
          <w:b/>
          <w:bCs/>
          <w:sz w:val="24"/>
          <w:szCs w:val="24"/>
        </w:rPr>
        <w:t>limiter les phénomènes de chute de tension ou de décrochage d’onduleurs</w:t>
      </w:r>
      <w:r w:rsidRPr="005C17AA">
        <w:rPr>
          <w:rFonts w:ascii="Verdana" w:hAnsi="Verdana"/>
          <w:sz w:val="24"/>
          <w:szCs w:val="24"/>
        </w:rPr>
        <w:t>, de plus en plus fréquents dans les réseaux sous-dimensionnés ou monophasés.</w:t>
      </w:r>
    </w:p>
    <w:p w14:paraId="04CE79CA" w14:textId="77777777" w:rsidR="005C17AA" w:rsidRPr="005C17AA" w:rsidRDefault="005C17AA" w:rsidP="00371937">
      <w:pPr>
        <w:jc w:val="both"/>
        <w:rPr>
          <w:rFonts w:ascii="Verdana" w:hAnsi="Verdana"/>
          <w:sz w:val="24"/>
          <w:szCs w:val="24"/>
        </w:rPr>
      </w:pPr>
      <w:r w:rsidRPr="005C17AA">
        <w:rPr>
          <w:rFonts w:ascii="Verdana" w:hAnsi="Verdana"/>
          <w:sz w:val="24"/>
          <w:szCs w:val="24"/>
        </w:rPr>
        <w:t xml:space="preserve">L’ensemble de ces mesures s’inscrit dans une </w:t>
      </w:r>
      <w:r w:rsidRPr="005C17AA">
        <w:rPr>
          <w:rFonts w:ascii="Verdana" w:hAnsi="Verdana"/>
          <w:b/>
          <w:bCs/>
          <w:sz w:val="24"/>
          <w:szCs w:val="24"/>
        </w:rPr>
        <w:t>stratégie de modernisation cohérente et proactive</w:t>
      </w:r>
      <w:r w:rsidRPr="005C17AA">
        <w:rPr>
          <w:rFonts w:ascii="Verdana" w:hAnsi="Verdana"/>
          <w:sz w:val="24"/>
          <w:szCs w:val="24"/>
        </w:rPr>
        <w:t>, destinée à garantir une qualité de service optimale, tout en anticipant les besoins futurs liés à la transition énergétique et à l’électrification croissante des usages.</w:t>
      </w:r>
    </w:p>
    <w:p w14:paraId="15BA9534" w14:textId="77777777" w:rsidR="005C17AA" w:rsidRPr="00C6045F" w:rsidRDefault="005C17AA" w:rsidP="00C6045F">
      <w:pPr>
        <w:rPr>
          <w:rFonts w:ascii="Verdana" w:hAnsi="Verdana"/>
        </w:rPr>
      </w:pPr>
    </w:p>
    <w:p w14:paraId="757882A1" w14:textId="1CF9601D" w:rsidR="00FF2E54" w:rsidRDefault="00FF2E54" w:rsidP="00800955">
      <w:pPr>
        <w:pStyle w:val="AIEG3"/>
      </w:pPr>
      <w:r>
        <w:lastRenderedPageBreak/>
        <w:t>Parallèle avec les investissements ELIA</w:t>
      </w:r>
    </w:p>
    <w:p w14:paraId="07F638E5" w14:textId="203BF185" w:rsidR="00307827" w:rsidRPr="005C17AA" w:rsidRDefault="004003CB" w:rsidP="005C17AA">
      <w:pPr>
        <w:rPr>
          <w:rFonts w:ascii="Verdana" w:hAnsi="Verdana"/>
        </w:rPr>
      </w:pPr>
      <w:r w:rsidRPr="005C17AA">
        <w:rPr>
          <w:rFonts w:ascii="Verdana" w:hAnsi="Verdana"/>
        </w:rPr>
        <w:t xml:space="preserve">Le poste de COUVIN est </w:t>
      </w:r>
      <w:proofErr w:type="gramStart"/>
      <w:r w:rsidRPr="005C17AA">
        <w:rPr>
          <w:rFonts w:ascii="Verdana" w:hAnsi="Verdana"/>
        </w:rPr>
        <w:t>prévue</w:t>
      </w:r>
      <w:proofErr w:type="gramEnd"/>
      <w:r w:rsidRPr="005C17AA">
        <w:rPr>
          <w:rFonts w:ascii="Verdana" w:hAnsi="Verdana"/>
        </w:rPr>
        <w:t xml:space="preserve"> pour </w:t>
      </w:r>
      <w:proofErr w:type="spellStart"/>
      <w:r w:rsidRPr="005C17AA">
        <w:rPr>
          <w:rFonts w:ascii="Verdana" w:hAnsi="Verdana"/>
        </w:rPr>
        <w:t>etre</w:t>
      </w:r>
      <w:proofErr w:type="spellEnd"/>
      <w:r w:rsidRPr="005C17AA">
        <w:rPr>
          <w:rFonts w:ascii="Verdana" w:hAnsi="Verdana"/>
        </w:rPr>
        <w:t xml:space="preserve"> rénové </w:t>
      </w:r>
      <w:r w:rsidR="00D408FB" w:rsidRPr="005C17AA">
        <w:rPr>
          <w:rFonts w:ascii="Verdana" w:hAnsi="Verdana"/>
        </w:rPr>
        <w:t xml:space="preserve">depuis </w:t>
      </w:r>
      <w:proofErr w:type="gramStart"/>
      <w:r w:rsidRPr="005C17AA">
        <w:rPr>
          <w:rFonts w:ascii="Verdana" w:hAnsi="Verdana"/>
        </w:rPr>
        <w:t>2021 ,</w:t>
      </w:r>
      <w:proofErr w:type="gramEnd"/>
      <w:r w:rsidRPr="005C17AA">
        <w:rPr>
          <w:rFonts w:ascii="Verdana" w:hAnsi="Verdana"/>
        </w:rPr>
        <w:t xml:space="preserve"> mais aucune date précise n’a été communiquée</w:t>
      </w:r>
      <w:r w:rsidR="006772C1" w:rsidRPr="005C17AA">
        <w:rPr>
          <w:rFonts w:ascii="Verdana" w:hAnsi="Verdana"/>
        </w:rPr>
        <w:t xml:space="preserve"> par </w:t>
      </w:r>
      <w:proofErr w:type="gramStart"/>
      <w:r w:rsidR="006772C1" w:rsidRPr="005C17AA">
        <w:rPr>
          <w:rFonts w:ascii="Verdana" w:hAnsi="Verdana"/>
        </w:rPr>
        <w:t>ELIA</w:t>
      </w:r>
      <w:r w:rsidRPr="005C17AA">
        <w:rPr>
          <w:rFonts w:ascii="Verdana" w:hAnsi="Verdana"/>
        </w:rPr>
        <w:t xml:space="preserve"> .</w:t>
      </w:r>
      <w:proofErr w:type="gramEnd"/>
    </w:p>
    <w:p w14:paraId="0BF15AF3" w14:textId="345FF4E1" w:rsidR="009C0E95" w:rsidRDefault="00FF2E54" w:rsidP="00800955">
      <w:pPr>
        <w:pStyle w:val="AIEG3"/>
      </w:pPr>
      <w:r>
        <w:t xml:space="preserve">Amélioration de l’efficacité du réseau </w:t>
      </w:r>
    </w:p>
    <w:p w14:paraId="453AC0C4" w14:textId="5BEAAF7E" w:rsidR="00FF2E54" w:rsidRDefault="00FF2E54" w:rsidP="00800955">
      <w:pPr>
        <w:pStyle w:val="aieg4"/>
        <w:rPr>
          <w:b w:val="0"/>
        </w:rPr>
      </w:pPr>
      <w:r>
        <w:t>Efficacité du réseau</w:t>
      </w:r>
    </w:p>
    <w:p w14:paraId="6A2C68E5" w14:textId="77777777" w:rsidR="00AE5EE3" w:rsidRDefault="00AE5EE3" w:rsidP="00C6045F">
      <w:pPr>
        <w:rPr>
          <w:rFonts w:ascii="Verdana" w:hAnsi="Verdana"/>
        </w:rPr>
      </w:pPr>
    </w:p>
    <w:p w14:paraId="3CB022E4" w14:textId="77777777" w:rsidR="009C6E5C" w:rsidRPr="009C6E5C" w:rsidRDefault="009C6E5C" w:rsidP="009F3FAA">
      <w:pPr>
        <w:jc w:val="both"/>
        <w:rPr>
          <w:rFonts w:ascii="Verdana" w:hAnsi="Verdana"/>
          <w:sz w:val="24"/>
          <w:szCs w:val="24"/>
        </w:rPr>
      </w:pPr>
      <w:r w:rsidRPr="009C6E5C">
        <w:rPr>
          <w:rFonts w:ascii="Verdana" w:hAnsi="Verdana"/>
          <w:sz w:val="24"/>
          <w:szCs w:val="24"/>
        </w:rPr>
        <w:t>Dans une optique d’</w:t>
      </w:r>
      <w:r w:rsidRPr="009C6E5C">
        <w:rPr>
          <w:rFonts w:ascii="Verdana" w:hAnsi="Verdana"/>
          <w:b/>
          <w:bCs/>
          <w:sz w:val="24"/>
          <w:szCs w:val="24"/>
        </w:rPr>
        <w:t>amélioration continue de la performance de son réseau</w:t>
      </w:r>
      <w:r w:rsidRPr="009C6E5C">
        <w:rPr>
          <w:rFonts w:ascii="Verdana" w:hAnsi="Verdana"/>
          <w:sz w:val="24"/>
          <w:szCs w:val="24"/>
        </w:rPr>
        <w:t>, l’AIEG a engagé un ensemble d’</w:t>
      </w:r>
      <w:r w:rsidRPr="009C6E5C">
        <w:rPr>
          <w:rFonts w:ascii="Verdana" w:hAnsi="Verdana"/>
          <w:b/>
          <w:bCs/>
          <w:sz w:val="24"/>
          <w:szCs w:val="24"/>
        </w:rPr>
        <w:t>investissements structurants</w:t>
      </w:r>
      <w:r w:rsidRPr="009C6E5C">
        <w:rPr>
          <w:rFonts w:ascii="Verdana" w:hAnsi="Verdana"/>
          <w:sz w:val="24"/>
          <w:szCs w:val="24"/>
        </w:rPr>
        <w:t xml:space="preserve"> destinés à </w:t>
      </w:r>
      <w:r w:rsidRPr="009C6E5C">
        <w:rPr>
          <w:rFonts w:ascii="Verdana" w:hAnsi="Verdana"/>
          <w:b/>
          <w:bCs/>
          <w:sz w:val="24"/>
          <w:szCs w:val="24"/>
        </w:rPr>
        <w:t>renforcer le maillage de son réseau haute et moyenne tension</w:t>
      </w:r>
      <w:r w:rsidRPr="009C6E5C">
        <w:rPr>
          <w:rFonts w:ascii="Verdana" w:hAnsi="Verdana"/>
          <w:sz w:val="24"/>
          <w:szCs w:val="24"/>
        </w:rPr>
        <w:t>. Ces actions s’inscrivent pleinement dans notre stratégie de résilience et de fiabilisation du réseau, et répondent aux exigences croissantes liées à la flexibilité, à la sécurité d’approvisionnement et à l’optimisation énergétique.</w:t>
      </w:r>
    </w:p>
    <w:p w14:paraId="4C3752AE" w14:textId="77777777" w:rsidR="009C6E5C" w:rsidRPr="009C6E5C" w:rsidRDefault="009C6E5C" w:rsidP="009F3FAA">
      <w:pPr>
        <w:jc w:val="both"/>
        <w:rPr>
          <w:rFonts w:ascii="Verdana" w:hAnsi="Verdana"/>
          <w:sz w:val="24"/>
          <w:szCs w:val="24"/>
        </w:rPr>
      </w:pPr>
      <w:r w:rsidRPr="009C6E5C">
        <w:rPr>
          <w:rFonts w:ascii="Verdana" w:hAnsi="Verdana"/>
          <w:sz w:val="24"/>
          <w:szCs w:val="24"/>
        </w:rPr>
        <w:t xml:space="preserve">L’une des priorités est la </w:t>
      </w:r>
      <w:r w:rsidRPr="009C6E5C">
        <w:rPr>
          <w:rFonts w:ascii="Verdana" w:hAnsi="Verdana"/>
          <w:b/>
          <w:bCs/>
          <w:sz w:val="24"/>
          <w:szCs w:val="24"/>
        </w:rPr>
        <w:t>suppression progressive des réseaux en antenne</w:t>
      </w:r>
      <w:r w:rsidRPr="009C6E5C">
        <w:rPr>
          <w:rFonts w:ascii="Verdana" w:hAnsi="Verdana"/>
          <w:sz w:val="24"/>
          <w:szCs w:val="24"/>
        </w:rPr>
        <w:t xml:space="preserve">, qui constituent un point de vulnérabilité en cas de défaut. Ces configurations sont remplacées, chaque fois que cela est techniquement et économiquement justifié, par des </w:t>
      </w:r>
      <w:r w:rsidRPr="009C6E5C">
        <w:rPr>
          <w:rFonts w:ascii="Verdana" w:hAnsi="Verdana"/>
          <w:b/>
          <w:bCs/>
          <w:sz w:val="24"/>
          <w:szCs w:val="24"/>
        </w:rPr>
        <w:t>maillages en boucle ouverte</w:t>
      </w:r>
      <w:r w:rsidRPr="009C6E5C">
        <w:rPr>
          <w:rFonts w:ascii="Verdana" w:hAnsi="Verdana"/>
          <w:sz w:val="24"/>
          <w:szCs w:val="24"/>
        </w:rPr>
        <w:t xml:space="preserve">, permettant une </w:t>
      </w:r>
      <w:r w:rsidRPr="009C6E5C">
        <w:rPr>
          <w:rFonts w:ascii="Verdana" w:hAnsi="Verdana"/>
          <w:b/>
          <w:bCs/>
          <w:sz w:val="24"/>
          <w:szCs w:val="24"/>
        </w:rPr>
        <w:t>reconfiguration rapide en cas de perte d’un départ</w:t>
      </w:r>
      <w:r w:rsidRPr="009C6E5C">
        <w:rPr>
          <w:rFonts w:ascii="Verdana" w:hAnsi="Verdana"/>
          <w:sz w:val="24"/>
          <w:szCs w:val="24"/>
        </w:rPr>
        <w:t xml:space="preserve">. Ce renforcement du maillage est systématiquement accompagné du </w:t>
      </w:r>
      <w:r w:rsidRPr="009C6E5C">
        <w:rPr>
          <w:rFonts w:ascii="Verdana" w:hAnsi="Verdana"/>
          <w:b/>
          <w:bCs/>
          <w:sz w:val="24"/>
          <w:szCs w:val="24"/>
        </w:rPr>
        <w:t>remplacement des tronçons de câbles sous-dimensionnés par des sections plus importantes</w:t>
      </w:r>
      <w:r w:rsidRPr="009C6E5C">
        <w:rPr>
          <w:rFonts w:ascii="Verdana" w:hAnsi="Verdana"/>
          <w:sz w:val="24"/>
          <w:szCs w:val="24"/>
        </w:rPr>
        <w:t xml:space="preserve"> (jusqu’à 240 mm² ou 400 mm² en aluminium selon les cas), afin de permettre un </w:t>
      </w:r>
      <w:r w:rsidRPr="009C6E5C">
        <w:rPr>
          <w:rFonts w:ascii="Verdana" w:hAnsi="Verdana"/>
          <w:b/>
          <w:bCs/>
          <w:sz w:val="24"/>
          <w:szCs w:val="24"/>
        </w:rPr>
        <w:t>transfert de charge plus efficace</w:t>
      </w:r>
      <w:r w:rsidRPr="009C6E5C">
        <w:rPr>
          <w:rFonts w:ascii="Verdana" w:hAnsi="Verdana"/>
          <w:sz w:val="24"/>
          <w:szCs w:val="24"/>
        </w:rPr>
        <w:t xml:space="preserve"> et de </w:t>
      </w:r>
      <w:r w:rsidRPr="009C6E5C">
        <w:rPr>
          <w:rFonts w:ascii="Verdana" w:hAnsi="Verdana"/>
          <w:b/>
          <w:bCs/>
          <w:sz w:val="24"/>
          <w:szCs w:val="24"/>
        </w:rPr>
        <w:t>réduire significativement les pertes par effet Joule</w:t>
      </w:r>
      <w:r w:rsidRPr="009C6E5C">
        <w:rPr>
          <w:rFonts w:ascii="Verdana" w:hAnsi="Verdana"/>
          <w:sz w:val="24"/>
          <w:szCs w:val="24"/>
        </w:rPr>
        <w:t>, en particulier sur les longueurs critiques.</w:t>
      </w:r>
    </w:p>
    <w:p w14:paraId="016BAC7D" w14:textId="77777777" w:rsidR="009C6E5C" w:rsidRPr="009C6E5C" w:rsidRDefault="009C6E5C" w:rsidP="009F3FAA">
      <w:pPr>
        <w:jc w:val="both"/>
        <w:rPr>
          <w:rFonts w:ascii="Verdana" w:hAnsi="Verdana"/>
          <w:sz w:val="24"/>
          <w:szCs w:val="24"/>
        </w:rPr>
      </w:pPr>
      <w:r w:rsidRPr="009C6E5C">
        <w:rPr>
          <w:rFonts w:ascii="Verdana" w:hAnsi="Verdana"/>
          <w:sz w:val="24"/>
          <w:szCs w:val="24"/>
        </w:rPr>
        <w:t>Dans cette même logique, l’AIEG procède à l’</w:t>
      </w:r>
      <w:r w:rsidRPr="009C6E5C">
        <w:rPr>
          <w:rFonts w:ascii="Verdana" w:hAnsi="Verdana"/>
          <w:b/>
          <w:bCs/>
          <w:sz w:val="24"/>
          <w:szCs w:val="24"/>
        </w:rPr>
        <w:t>installation systématique de témoins de court-circuit statiques</w:t>
      </w:r>
      <w:r w:rsidRPr="009C6E5C">
        <w:rPr>
          <w:rFonts w:ascii="Verdana" w:hAnsi="Verdana"/>
          <w:sz w:val="24"/>
          <w:szCs w:val="24"/>
        </w:rPr>
        <w:t xml:space="preserve"> sur les réseaux moyenne tension. Ces dispositifs, simples et robustes, </w:t>
      </w:r>
      <w:r w:rsidRPr="009C6E5C">
        <w:rPr>
          <w:rFonts w:ascii="Verdana" w:hAnsi="Verdana"/>
          <w:b/>
          <w:bCs/>
          <w:sz w:val="24"/>
          <w:szCs w:val="24"/>
        </w:rPr>
        <w:t>facilitent considérablement la localisation rapide des défauts</w:t>
      </w:r>
      <w:r w:rsidRPr="009C6E5C">
        <w:rPr>
          <w:rFonts w:ascii="Verdana" w:hAnsi="Verdana"/>
          <w:sz w:val="24"/>
          <w:szCs w:val="24"/>
        </w:rPr>
        <w:t>, ce qui réduit le temps d’intervention et améliore les indicateurs de continuité de service. À cela s’ajoute une politique active d’</w:t>
      </w:r>
      <w:r w:rsidRPr="009C6E5C">
        <w:rPr>
          <w:rFonts w:ascii="Verdana" w:hAnsi="Verdana"/>
          <w:b/>
          <w:bCs/>
          <w:sz w:val="24"/>
          <w:szCs w:val="24"/>
        </w:rPr>
        <w:t>entretien préventif</w:t>
      </w:r>
      <w:r w:rsidRPr="009C6E5C">
        <w:rPr>
          <w:rFonts w:ascii="Verdana" w:hAnsi="Verdana"/>
          <w:sz w:val="24"/>
          <w:szCs w:val="24"/>
        </w:rPr>
        <w:t xml:space="preserve"> des installations, incluant le </w:t>
      </w:r>
      <w:r w:rsidRPr="009C6E5C">
        <w:rPr>
          <w:rFonts w:ascii="Verdana" w:hAnsi="Verdana"/>
          <w:b/>
          <w:bCs/>
          <w:sz w:val="24"/>
          <w:szCs w:val="24"/>
        </w:rPr>
        <w:t>nettoyage régulier des cabines</w:t>
      </w:r>
      <w:r w:rsidRPr="009C6E5C">
        <w:rPr>
          <w:rFonts w:ascii="Verdana" w:hAnsi="Verdana"/>
          <w:sz w:val="24"/>
          <w:szCs w:val="24"/>
        </w:rPr>
        <w:t xml:space="preserve">, le </w:t>
      </w:r>
      <w:r w:rsidRPr="009C6E5C">
        <w:rPr>
          <w:rFonts w:ascii="Verdana" w:hAnsi="Verdana"/>
          <w:b/>
          <w:bCs/>
          <w:sz w:val="24"/>
          <w:szCs w:val="24"/>
        </w:rPr>
        <w:t>contrôle des connexions</w:t>
      </w:r>
      <w:r w:rsidRPr="009C6E5C">
        <w:rPr>
          <w:rFonts w:ascii="Verdana" w:hAnsi="Verdana"/>
          <w:sz w:val="24"/>
          <w:szCs w:val="24"/>
        </w:rPr>
        <w:t xml:space="preserve"> et le </w:t>
      </w:r>
      <w:r w:rsidRPr="009C6E5C">
        <w:rPr>
          <w:rFonts w:ascii="Verdana" w:hAnsi="Verdana"/>
          <w:b/>
          <w:bCs/>
          <w:sz w:val="24"/>
          <w:szCs w:val="24"/>
        </w:rPr>
        <w:t>dépoussiérage des cellules</w:t>
      </w:r>
      <w:r w:rsidRPr="009C6E5C">
        <w:rPr>
          <w:rFonts w:ascii="Verdana" w:hAnsi="Verdana"/>
          <w:sz w:val="24"/>
          <w:szCs w:val="24"/>
        </w:rPr>
        <w:t>, qui contribuent directement à la fiabilité de l’exploitation.</w:t>
      </w:r>
    </w:p>
    <w:p w14:paraId="1AC4F1A2" w14:textId="77777777" w:rsidR="009C6E5C" w:rsidRPr="009C6E5C" w:rsidRDefault="009C6E5C" w:rsidP="009F3FAA">
      <w:pPr>
        <w:jc w:val="both"/>
        <w:rPr>
          <w:rFonts w:ascii="Verdana" w:hAnsi="Verdana"/>
          <w:sz w:val="24"/>
          <w:szCs w:val="24"/>
        </w:rPr>
      </w:pPr>
      <w:r w:rsidRPr="009C6E5C">
        <w:rPr>
          <w:rFonts w:ascii="Verdana" w:hAnsi="Verdana"/>
          <w:sz w:val="24"/>
          <w:szCs w:val="24"/>
        </w:rPr>
        <w:t xml:space="preserve">L’AIEG a également généralisé l’installation de </w:t>
      </w:r>
      <w:r w:rsidRPr="009C6E5C">
        <w:rPr>
          <w:rFonts w:ascii="Verdana" w:hAnsi="Verdana"/>
          <w:b/>
          <w:bCs/>
          <w:sz w:val="24"/>
          <w:szCs w:val="24"/>
        </w:rPr>
        <w:t>modules de surveillance dans toutes les nouvelles cabines de distribution MT/BT</w:t>
      </w:r>
      <w:r w:rsidRPr="009C6E5C">
        <w:rPr>
          <w:rFonts w:ascii="Verdana" w:hAnsi="Verdana"/>
          <w:sz w:val="24"/>
          <w:szCs w:val="24"/>
        </w:rPr>
        <w:t xml:space="preserve">. Ces modules, directement connectés au système </w:t>
      </w:r>
      <w:r w:rsidRPr="009C6E5C">
        <w:rPr>
          <w:rFonts w:ascii="Verdana" w:hAnsi="Verdana"/>
          <w:b/>
          <w:bCs/>
          <w:sz w:val="24"/>
          <w:szCs w:val="24"/>
        </w:rPr>
        <w:t>SCADA</w:t>
      </w:r>
      <w:r w:rsidRPr="009C6E5C">
        <w:rPr>
          <w:rFonts w:ascii="Verdana" w:hAnsi="Verdana"/>
          <w:sz w:val="24"/>
          <w:szCs w:val="24"/>
        </w:rPr>
        <w:t xml:space="preserve"> du GRD, assurent la </w:t>
      </w:r>
      <w:r w:rsidRPr="009C6E5C">
        <w:rPr>
          <w:rFonts w:ascii="Verdana" w:hAnsi="Verdana"/>
          <w:b/>
          <w:bCs/>
          <w:sz w:val="24"/>
          <w:szCs w:val="24"/>
        </w:rPr>
        <w:t>télémesure et la télésignalisation</w:t>
      </w:r>
      <w:r w:rsidRPr="009C6E5C">
        <w:rPr>
          <w:rFonts w:ascii="Verdana" w:hAnsi="Verdana"/>
          <w:sz w:val="24"/>
          <w:szCs w:val="24"/>
        </w:rPr>
        <w:t xml:space="preserve"> en temps réel de multiples paramètres réseau : tension, courant, puissance, température ambiante, température transformateur, surpression, position des portes, etc. Les </w:t>
      </w:r>
      <w:r w:rsidRPr="009C6E5C">
        <w:rPr>
          <w:rFonts w:ascii="Verdana" w:hAnsi="Verdana"/>
          <w:sz w:val="24"/>
          <w:szCs w:val="24"/>
        </w:rPr>
        <w:lastRenderedPageBreak/>
        <w:t xml:space="preserve">disjoncteurs généraux BT et les interrupteurs MT sont également </w:t>
      </w:r>
      <w:r w:rsidRPr="009C6E5C">
        <w:rPr>
          <w:rFonts w:ascii="Verdana" w:hAnsi="Verdana"/>
          <w:b/>
          <w:bCs/>
          <w:sz w:val="24"/>
          <w:szCs w:val="24"/>
        </w:rPr>
        <w:t>télécommandés</w:t>
      </w:r>
      <w:r w:rsidRPr="009C6E5C">
        <w:rPr>
          <w:rFonts w:ascii="Verdana" w:hAnsi="Verdana"/>
          <w:sz w:val="24"/>
          <w:szCs w:val="24"/>
        </w:rPr>
        <w:t xml:space="preserve">, ce qui offre à l’exploitant une </w:t>
      </w:r>
      <w:r w:rsidRPr="009C6E5C">
        <w:rPr>
          <w:rFonts w:ascii="Verdana" w:hAnsi="Verdana"/>
          <w:b/>
          <w:bCs/>
          <w:sz w:val="24"/>
          <w:szCs w:val="24"/>
        </w:rPr>
        <w:t>grande réactivité opérationnelle</w:t>
      </w:r>
      <w:r w:rsidRPr="009C6E5C">
        <w:rPr>
          <w:rFonts w:ascii="Verdana" w:hAnsi="Verdana"/>
          <w:sz w:val="24"/>
          <w:szCs w:val="24"/>
        </w:rPr>
        <w:t xml:space="preserve"> sans devoir mobiliser immédiatement une équipe sur site.</w:t>
      </w:r>
    </w:p>
    <w:p w14:paraId="10768C80" w14:textId="77777777" w:rsidR="009C6E5C" w:rsidRPr="009C6E5C" w:rsidRDefault="009C6E5C" w:rsidP="009F3FAA">
      <w:pPr>
        <w:jc w:val="both"/>
        <w:rPr>
          <w:rFonts w:ascii="Verdana" w:hAnsi="Verdana"/>
          <w:sz w:val="24"/>
          <w:szCs w:val="24"/>
        </w:rPr>
      </w:pPr>
      <w:r w:rsidRPr="009C6E5C">
        <w:rPr>
          <w:rFonts w:ascii="Verdana" w:hAnsi="Verdana"/>
          <w:sz w:val="24"/>
          <w:szCs w:val="24"/>
        </w:rPr>
        <w:t xml:space="preserve">En parallèle, l’AIEG poursuit le </w:t>
      </w:r>
      <w:r w:rsidRPr="009C6E5C">
        <w:rPr>
          <w:rFonts w:ascii="Verdana" w:hAnsi="Verdana"/>
          <w:b/>
          <w:bCs/>
          <w:sz w:val="24"/>
          <w:szCs w:val="24"/>
        </w:rPr>
        <w:t>déploiement progressif d’un réseau de fibre optique</w:t>
      </w:r>
      <w:r w:rsidRPr="009C6E5C">
        <w:rPr>
          <w:rFonts w:ascii="Verdana" w:hAnsi="Verdana"/>
          <w:sz w:val="24"/>
          <w:szCs w:val="24"/>
        </w:rPr>
        <w:t xml:space="preserve"> le long de son infrastructure moyenne tension. Ce déploiement, réalisé en synergie avec d’autres opérateurs ou lors de chantiers conjoints, vise à </w:t>
      </w:r>
      <w:r w:rsidRPr="009C6E5C">
        <w:rPr>
          <w:rFonts w:ascii="Verdana" w:hAnsi="Verdana"/>
          <w:b/>
          <w:bCs/>
          <w:sz w:val="24"/>
          <w:szCs w:val="24"/>
        </w:rPr>
        <w:t>connecter l’ensemble des nœuds stratégiques du réseau</w:t>
      </w:r>
      <w:r w:rsidRPr="009C6E5C">
        <w:rPr>
          <w:rFonts w:ascii="Verdana" w:hAnsi="Verdana"/>
          <w:sz w:val="24"/>
          <w:szCs w:val="24"/>
        </w:rPr>
        <w:t xml:space="preserve"> à une infrastructure de communication haut débit. Cette fibre permet non seulement le </w:t>
      </w:r>
      <w:r w:rsidRPr="009C6E5C">
        <w:rPr>
          <w:rFonts w:ascii="Verdana" w:hAnsi="Verdana"/>
          <w:b/>
          <w:bCs/>
          <w:sz w:val="24"/>
          <w:szCs w:val="24"/>
        </w:rPr>
        <w:t>pilotage à distance</w:t>
      </w:r>
      <w:r w:rsidRPr="009C6E5C">
        <w:rPr>
          <w:rFonts w:ascii="Verdana" w:hAnsi="Verdana"/>
          <w:sz w:val="24"/>
          <w:szCs w:val="24"/>
        </w:rPr>
        <w:t xml:space="preserve"> des équipements, mais aussi l’intégration future de fonctions avancées (monitoring temps réel, analyse prédictive, gestion dynamique de la charge).</w:t>
      </w:r>
    </w:p>
    <w:p w14:paraId="2EF8D5C4" w14:textId="77777777" w:rsidR="009C6E5C" w:rsidRPr="009C6E5C" w:rsidRDefault="009C6E5C" w:rsidP="009F3FAA">
      <w:pPr>
        <w:jc w:val="both"/>
        <w:rPr>
          <w:rFonts w:ascii="Verdana" w:hAnsi="Verdana"/>
          <w:sz w:val="24"/>
          <w:szCs w:val="24"/>
        </w:rPr>
      </w:pPr>
      <w:r w:rsidRPr="009C6E5C">
        <w:rPr>
          <w:rFonts w:ascii="Verdana" w:hAnsi="Verdana"/>
          <w:sz w:val="24"/>
          <w:szCs w:val="24"/>
        </w:rPr>
        <w:t>Dans les cabines déjà équipées, plusieurs fonctionnalités avancées ont été mises en œuvre avec succès, notamment :</w:t>
      </w:r>
    </w:p>
    <w:p w14:paraId="1B2D986F" w14:textId="77777777" w:rsidR="009C6E5C" w:rsidRPr="009C6E5C" w:rsidRDefault="009C6E5C" w:rsidP="009F3FAA">
      <w:pPr>
        <w:numPr>
          <w:ilvl w:val="0"/>
          <w:numId w:val="38"/>
        </w:numPr>
        <w:jc w:val="both"/>
        <w:rPr>
          <w:rFonts w:ascii="Verdana" w:hAnsi="Verdana"/>
          <w:sz w:val="24"/>
          <w:szCs w:val="24"/>
        </w:rPr>
      </w:pPr>
      <w:r w:rsidRPr="009C6E5C">
        <w:rPr>
          <w:rFonts w:ascii="Verdana" w:hAnsi="Verdana"/>
          <w:sz w:val="24"/>
          <w:szCs w:val="24"/>
        </w:rPr>
        <w:t xml:space="preserve">La </w:t>
      </w:r>
      <w:r w:rsidRPr="009C6E5C">
        <w:rPr>
          <w:rFonts w:ascii="Verdana" w:hAnsi="Verdana"/>
          <w:b/>
          <w:bCs/>
          <w:sz w:val="24"/>
          <w:szCs w:val="24"/>
        </w:rPr>
        <w:t>télésurveillance des disjoncteurs et interrupteurs MT</w:t>
      </w:r>
      <w:r w:rsidRPr="009C6E5C">
        <w:rPr>
          <w:rFonts w:ascii="Verdana" w:hAnsi="Verdana"/>
          <w:sz w:val="24"/>
          <w:szCs w:val="24"/>
        </w:rPr>
        <w:t xml:space="preserve"> ;</w:t>
      </w:r>
    </w:p>
    <w:p w14:paraId="3F3D9C73" w14:textId="77777777" w:rsidR="009C6E5C" w:rsidRPr="009C6E5C" w:rsidRDefault="009C6E5C" w:rsidP="009F3FAA">
      <w:pPr>
        <w:numPr>
          <w:ilvl w:val="0"/>
          <w:numId w:val="38"/>
        </w:numPr>
        <w:jc w:val="both"/>
        <w:rPr>
          <w:rFonts w:ascii="Verdana" w:hAnsi="Verdana"/>
          <w:sz w:val="24"/>
          <w:szCs w:val="24"/>
        </w:rPr>
      </w:pPr>
      <w:r w:rsidRPr="009C6E5C">
        <w:rPr>
          <w:rFonts w:ascii="Verdana" w:hAnsi="Verdana"/>
          <w:sz w:val="24"/>
          <w:szCs w:val="24"/>
        </w:rPr>
        <w:t xml:space="preserve">La </w:t>
      </w:r>
      <w:r w:rsidRPr="009C6E5C">
        <w:rPr>
          <w:rFonts w:ascii="Verdana" w:hAnsi="Verdana"/>
          <w:b/>
          <w:bCs/>
          <w:sz w:val="24"/>
          <w:szCs w:val="24"/>
        </w:rPr>
        <w:t>télésignalisation des témoins de court-circuit</w:t>
      </w:r>
      <w:r w:rsidRPr="009C6E5C">
        <w:rPr>
          <w:rFonts w:ascii="Verdana" w:hAnsi="Verdana"/>
          <w:sz w:val="24"/>
          <w:szCs w:val="24"/>
        </w:rPr>
        <w:t xml:space="preserve"> ;</w:t>
      </w:r>
    </w:p>
    <w:p w14:paraId="39A7B9DD" w14:textId="77777777" w:rsidR="009C6E5C" w:rsidRPr="009C6E5C" w:rsidRDefault="009C6E5C" w:rsidP="009F3FAA">
      <w:pPr>
        <w:numPr>
          <w:ilvl w:val="0"/>
          <w:numId w:val="38"/>
        </w:numPr>
        <w:jc w:val="both"/>
        <w:rPr>
          <w:rFonts w:ascii="Verdana" w:hAnsi="Verdana"/>
          <w:sz w:val="24"/>
          <w:szCs w:val="24"/>
        </w:rPr>
      </w:pPr>
      <w:r w:rsidRPr="009C6E5C">
        <w:rPr>
          <w:rFonts w:ascii="Verdana" w:hAnsi="Verdana"/>
          <w:sz w:val="24"/>
          <w:szCs w:val="24"/>
        </w:rPr>
        <w:t xml:space="preserve">La </w:t>
      </w:r>
      <w:r w:rsidRPr="009C6E5C">
        <w:rPr>
          <w:rFonts w:ascii="Verdana" w:hAnsi="Verdana"/>
          <w:b/>
          <w:bCs/>
          <w:sz w:val="24"/>
          <w:szCs w:val="24"/>
        </w:rPr>
        <w:t>télémesure des grandeurs électriques BT (I, U, P)</w:t>
      </w:r>
      <w:r w:rsidRPr="009C6E5C">
        <w:rPr>
          <w:rFonts w:ascii="Verdana" w:hAnsi="Verdana"/>
          <w:sz w:val="24"/>
          <w:szCs w:val="24"/>
        </w:rPr>
        <w:t xml:space="preserve"> ;</w:t>
      </w:r>
    </w:p>
    <w:p w14:paraId="7292196A" w14:textId="77777777" w:rsidR="009C6E5C" w:rsidRPr="009C6E5C" w:rsidRDefault="009C6E5C" w:rsidP="009F3FAA">
      <w:pPr>
        <w:numPr>
          <w:ilvl w:val="0"/>
          <w:numId w:val="38"/>
        </w:numPr>
        <w:jc w:val="both"/>
        <w:rPr>
          <w:rFonts w:ascii="Verdana" w:hAnsi="Verdana"/>
          <w:sz w:val="24"/>
          <w:szCs w:val="24"/>
        </w:rPr>
      </w:pPr>
      <w:r w:rsidRPr="009C6E5C">
        <w:rPr>
          <w:rFonts w:ascii="Verdana" w:hAnsi="Verdana"/>
          <w:sz w:val="24"/>
          <w:szCs w:val="24"/>
        </w:rPr>
        <w:t xml:space="preserve">La </w:t>
      </w:r>
      <w:r w:rsidRPr="009C6E5C">
        <w:rPr>
          <w:rFonts w:ascii="Verdana" w:hAnsi="Verdana"/>
          <w:b/>
          <w:bCs/>
          <w:sz w:val="24"/>
          <w:szCs w:val="24"/>
        </w:rPr>
        <w:t>surveillance des conditions environnementales</w:t>
      </w:r>
      <w:r w:rsidRPr="009C6E5C">
        <w:rPr>
          <w:rFonts w:ascii="Verdana" w:hAnsi="Verdana"/>
          <w:sz w:val="24"/>
          <w:szCs w:val="24"/>
        </w:rPr>
        <w:t xml:space="preserve"> (température, hygrométrie, surpression) et des accès physiques.</w:t>
      </w:r>
    </w:p>
    <w:p w14:paraId="69E5F84F" w14:textId="77777777" w:rsidR="009C6E5C" w:rsidRPr="009C6E5C" w:rsidRDefault="009C6E5C" w:rsidP="009F3FAA">
      <w:pPr>
        <w:jc w:val="both"/>
        <w:rPr>
          <w:rFonts w:ascii="Verdana" w:hAnsi="Verdana"/>
          <w:sz w:val="24"/>
          <w:szCs w:val="24"/>
        </w:rPr>
      </w:pPr>
      <w:r w:rsidRPr="009C6E5C">
        <w:rPr>
          <w:rFonts w:ascii="Verdana" w:hAnsi="Verdana"/>
          <w:sz w:val="24"/>
          <w:szCs w:val="24"/>
        </w:rPr>
        <w:t xml:space="preserve">L’ensemble de ces mesures vise à faire évoluer le réseau vers un </w:t>
      </w:r>
      <w:r w:rsidRPr="009C6E5C">
        <w:rPr>
          <w:rFonts w:ascii="Verdana" w:hAnsi="Verdana"/>
          <w:b/>
          <w:bCs/>
          <w:sz w:val="24"/>
          <w:szCs w:val="24"/>
        </w:rPr>
        <w:t>réseau de distribution intelligent</w:t>
      </w:r>
      <w:r w:rsidRPr="009C6E5C">
        <w:rPr>
          <w:rFonts w:ascii="Verdana" w:hAnsi="Verdana"/>
          <w:sz w:val="24"/>
          <w:szCs w:val="24"/>
        </w:rPr>
        <w:t>, plus réactif, plus automatisé, et mieux armé pour faire face aux défis de la transition énergétique.</w:t>
      </w:r>
    </w:p>
    <w:p w14:paraId="4E6B2432" w14:textId="77777777" w:rsidR="00AE5EE3" w:rsidRPr="00371937" w:rsidRDefault="00AE5EE3" w:rsidP="00C6045F">
      <w:pPr>
        <w:rPr>
          <w:rFonts w:ascii="Verdana" w:hAnsi="Verdana"/>
          <w:sz w:val="24"/>
          <w:szCs w:val="24"/>
        </w:rPr>
      </w:pPr>
    </w:p>
    <w:p w14:paraId="6571CFAF" w14:textId="47E74325" w:rsidR="0081493F" w:rsidRDefault="0081493F" w:rsidP="00800955">
      <w:pPr>
        <w:pStyle w:val="aieg4"/>
        <w:rPr>
          <w:b w:val="0"/>
        </w:rPr>
      </w:pPr>
      <w:proofErr w:type="gramStart"/>
      <w:r>
        <w:t>efficacité</w:t>
      </w:r>
      <w:proofErr w:type="gramEnd"/>
      <w:r>
        <w:t xml:space="preserve"> énergétique</w:t>
      </w:r>
    </w:p>
    <w:p w14:paraId="5A396967" w14:textId="0482DB33" w:rsidR="00AA1986" w:rsidRPr="00AA1986" w:rsidRDefault="00AA1986" w:rsidP="00112531">
      <w:pPr>
        <w:rPr>
          <w:rFonts w:ascii="Verdana" w:hAnsi="Verdana"/>
        </w:rPr>
      </w:pPr>
      <w:r w:rsidRPr="00AA1986">
        <w:rPr>
          <w:rFonts w:ascii="Verdana" w:hAnsi="Verdana"/>
        </w:rPr>
        <w:t>Aucun projet lancé par l’AIEG concernant l’eff</w:t>
      </w:r>
      <w:r w:rsidR="00E84A6B">
        <w:rPr>
          <w:rFonts w:ascii="Verdana" w:hAnsi="Verdana"/>
        </w:rPr>
        <w:t>ica</w:t>
      </w:r>
      <w:r w:rsidRPr="00AA1986">
        <w:rPr>
          <w:rFonts w:ascii="Verdana" w:hAnsi="Verdana"/>
        </w:rPr>
        <w:t xml:space="preserve">cité </w:t>
      </w:r>
      <w:proofErr w:type="spellStart"/>
      <w:r w:rsidRPr="00AA1986">
        <w:rPr>
          <w:rFonts w:ascii="Verdana" w:hAnsi="Verdana"/>
        </w:rPr>
        <w:t>energétique</w:t>
      </w:r>
      <w:proofErr w:type="spellEnd"/>
      <w:r w:rsidRPr="00AA1986">
        <w:rPr>
          <w:rFonts w:ascii="Verdana" w:hAnsi="Verdana"/>
        </w:rPr>
        <w:t xml:space="preserve"> </w:t>
      </w:r>
    </w:p>
    <w:p w14:paraId="678D85C8" w14:textId="4DC38D6C" w:rsidR="0081493F" w:rsidRDefault="0081493F" w:rsidP="00800955">
      <w:pPr>
        <w:pStyle w:val="aieg4"/>
        <w:rPr>
          <w:b w:val="0"/>
        </w:rPr>
      </w:pPr>
      <w:proofErr w:type="gramStart"/>
      <w:r>
        <w:t>réduction</w:t>
      </w:r>
      <w:proofErr w:type="gramEnd"/>
      <w:r>
        <w:t xml:space="preserve"> des pertes techniques</w:t>
      </w:r>
    </w:p>
    <w:p w14:paraId="7FF70BCA" w14:textId="77777777" w:rsidR="00A4073A" w:rsidRDefault="00A4073A" w:rsidP="00733915">
      <w:pPr>
        <w:ind w:left="851"/>
        <w:rPr>
          <w:rFonts w:ascii="Verdana" w:hAnsi="Verdana"/>
        </w:rPr>
      </w:pPr>
    </w:p>
    <w:p w14:paraId="2D560AB0" w14:textId="77777777" w:rsidR="00112531" w:rsidRPr="00112531" w:rsidRDefault="00112531" w:rsidP="009F3FAA">
      <w:pPr>
        <w:jc w:val="both"/>
        <w:rPr>
          <w:rFonts w:ascii="Verdana" w:hAnsi="Verdana"/>
          <w:sz w:val="24"/>
          <w:szCs w:val="24"/>
        </w:rPr>
      </w:pPr>
      <w:r w:rsidRPr="00112531">
        <w:rPr>
          <w:rFonts w:ascii="Verdana" w:hAnsi="Verdana"/>
          <w:sz w:val="24"/>
          <w:szCs w:val="24"/>
        </w:rPr>
        <w:t xml:space="preserve">Dans le cadre de sa stratégie globale d’optimisation de la performance réseau, l’AIEG met en œuvre une </w:t>
      </w:r>
      <w:r w:rsidRPr="00112531">
        <w:rPr>
          <w:rFonts w:ascii="Verdana" w:hAnsi="Verdana"/>
          <w:b/>
          <w:bCs/>
          <w:sz w:val="24"/>
          <w:szCs w:val="24"/>
        </w:rPr>
        <w:t>politique ciblée de réduction des pertes techniques</w:t>
      </w:r>
      <w:r w:rsidRPr="00112531">
        <w:rPr>
          <w:rFonts w:ascii="Verdana" w:hAnsi="Verdana"/>
          <w:sz w:val="24"/>
          <w:szCs w:val="24"/>
        </w:rPr>
        <w:t xml:space="preserve">, qui s’articule autour de </w:t>
      </w:r>
      <w:r w:rsidRPr="00112531">
        <w:rPr>
          <w:rFonts w:ascii="Verdana" w:hAnsi="Verdana"/>
          <w:b/>
          <w:bCs/>
          <w:sz w:val="24"/>
          <w:szCs w:val="24"/>
        </w:rPr>
        <w:t>quatre axes structurants</w:t>
      </w:r>
      <w:r w:rsidRPr="00112531">
        <w:rPr>
          <w:rFonts w:ascii="Verdana" w:hAnsi="Verdana"/>
          <w:sz w:val="24"/>
          <w:szCs w:val="24"/>
        </w:rPr>
        <w:t xml:space="preserve">. Ces mesures, à la fois techniques et organisationnelles, visent à </w:t>
      </w:r>
      <w:r w:rsidRPr="00112531">
        <w:rPr>
          <w:rFonts w:ascii="Verdana" w:hAnsi="Verdana"/>
          <w:b/>
          <w:bCs/>
          <w:sz w:val="24"/>
          <w:szCs w:val="24"/>
        </w:rPr>
        <w:t>améliorer le rendement énergétique</w:t>
      </w:r>
      <w:r w:rsidRPr="00112531">
        <w:rPr>
          <w:rFonts w:ascii="Verdana" w:hAnsi="Verdana"/>
          <w:sz w:val="24"/>
          <w:szCs w:val="24"/>
        </w:rPr>
        <w:t xml:space="preserve"> du réseau de distribution, tout en renforçant sa fiabilité à long terme.</w:t>
      </w:r>
    </w:p>
    <w:p w14:paraId="58E4C718" w14:textId="77777777" w:rsidR="00112531" w:rsidRPr="00112531" w:rsidRDefault="00112531" w:rsidP="009F3FAA">
      <w:pPr>
        <w:jc w:val="both"/>
        <w:rPr>
          <w:rFonts w:ascii="Verdana" w:hAnsi="Verdana"/>
          <w:sz w:val="24"/>
          <w:szCs w:val="24"/>
        </w:rPr>
      </w:pPr>
      <w:r w:rsidRPr="00112531">
        <w:rPr>
          <w:rFonts w:ascii="Verdana" w:hAnsi="Verdana"/>
          <w:sz w:val="24"/>
          <w:szCs w:val="24"/>
        </w:rPr>
        <w:t>Tout d’abord, l’AIEG privilégie l’</w:t>
      </w:r>
      <w:r w:rsidRPr="00112531">
        <w:rPr>
          <w:rFonts w:ascii="Verdana" w:hAnsi="Verdana"/>
          <w:b/>
          <w:bCs/>
          <w:sz w:val="24"/>
          <w:szCs w:val="24"/>
        </w:rPr>
        <w:t>installation systématique de transformateurs MT/BT à pertes réduites</w:t>
      </w:r>
      <w:r w:rsidRPr="00112531">
        <w:rPr>
          <w:rFonts w:ascii="Verdana" w:hAnsi="Verdana"/>
          <w:sz w:val="24"/>
          <w:szCs w:val="24"/>
        </w:rPr>
        <w:t xml:space="preserve">, conformes aux normes européennes les plus récentes en matière de rendement. Ces </w:t>
      </w:r>
      <w:r w:rsidRPr="00112531">
        <w:rPr>
          <w:rFonts w:ascii="Verdana" w:hAnsi="Verdana"/>
          <w:sz w:val="24"/>
          <w:szCs w:val="24"/>
        </w:rPr>
        <w:lastRenderedPageBreak/>
        <w:t>transformateurs, plus performants, permettent de limiter les pertes à vide et en charge, particulièrement sur les réseaux urbains denses ou les sites à forte consommation.</w:t>
      </w:r>
    </w:p>
    <w:p w14:paraId="5BB6D6A8" w14:textId="77777777" w:rsidR="00112531" w:rsidRPr="00112531" w:rsidRDefault="00112531" w:rsidP="009F3FAA">
      <w:pPr>
        <w:jc w:val="both"/>
        <w:rPr>
          <w:rFonts w:ascii="Verdana" w:hAnsi="Verdana"/>
          <w:sz w:val="24"/>
          <w:szCs w:val="24"/>
        </w:rPr>
      </w:pPr>
      <w:r w:rsidRPr="00112531">
        <w:rPr>
          <w:rFonts w:ascii="Verdana" w:hAnsi="Verdana"/>
          <w:sz w:val="24"/>
          <w:szCs w:val="24"/>
        </w:rPr>
        <w:t xml:space="preserve">Ensuite, une </w:t>
      </w:r>
      <w:r w:rsidRPr="00112531">
        <w:rPr>
          <w:rFonts w:ascii="Verdana" w:hAnsi="Verdana"/>
          <w:b/>
          <w:bCs/>
          <w:sz w:val="24"/>
          <w:szCs w:val="24"/>
        </w:rPr>
        <w:t>standardisation des sections de câbles</w:t>
      </w:r>
      <w:r w:rsidRPr="00112531">
        <w:rPr>
          <w:rFonts w:ascii="Verdana" w:hAnsi="Verdana"/>
          <w:sz w:val="24"/>
          <w:szCs w:val="24"/>
        </w:rPr>
        <w:t xml:space="preserve"> est appliquée, tant en moyenne qu’en basse tension. L’AIEG utilise des sections optimisées (95 mm², 150 mm², 240 mm² et 400 mm² selon les cas), choisies en fonction du niveau de charge et de la longueur des tronçons. Cette approche permet de </w:t>
      </w:r>
      <w:r w:rsidRPr="00112531">
        <w:rPr>
          <w:rFonts w:ascii="Verdana" w:hAnsi="Verdana"/>
          <w:b/>
          <w:bCs/>
          <w:sz w:val="24"/>
          <w:szCs w:val="24"/>
        </w:rPr>
        <w:t>réduire les pertes par effet Joule</w:t>
      </w:r>
      <w:r w:rsidRPr="00112531">
        <w:rPr>
          <w:rFonts w:ascii="Verdana" w:hAnsi="Verdana"/>
          <w:sz w:val="24"/>
          <w:szCs w:val="24"/>
        </w:rPr>
        <w:t>, tout en simplifiant la gestion des stocks et la maintenance.</w:t>
      </w:r>
    </w:p>
    <w:p w14:paraId="1055DD4D" w14:textId="77777777" w:rsidR="00112531" w:rsidRPr="00112531" w:rsidRDefault="00112531" w:rsidP="009F3FAA">
      <w:pPr>
        <w:jc w:val="both"/>
        <w:rPr>
          <w:rFonts w:ascii="Verdana" w:hAnsi="Verdana"/>
          <w:sz w:val="24"/>
          <w:szCs w:val="24"/>
        </w:rPr>
      </w:pPr>
      <w:r w:rsidRPr="00112531">
        <w:rPr>
          <w:rFonts w:ascii="Verdana" w:hAnsi="Verdana"/>
          <w:sz w:val="24"/>
          <w:szCs w:val="24"/>
        </w:rPr>
        <w:t xml:space="preserve">Par ailleurs, l’AIEG encourage et met en œuvre la </w:t>
      </w:r>
      <w:r w:rsidRPr="00112531">
        <w:rPr>
          <w:rFonts w:ascii="Verdana" w:hAnsi="Verdana"/>
          <w:b/>
          <w:bCs/>
          <w:sz w:val="24"/>
          <w:szCs w:val="24"/>
        </w:rPr>
        <w:t>migration progressive des réseaux BT en 3x230 V vers du 3x400 V + Neutre</w:t>
      </w:r>
      <w:r w:rsidRPr="00112531">
        <w:rPr>
          <w:rFonts w:ascii="Verdana" w:hAnsi="Verdana"/>
          <w:sz w:val="24"/>
          <w:szCs w:val="24"/>
        </w:rPr>
        <w:t xml:space="preserve">, notamment dans les nouvelles zones de développement. Cette évolution permet une </w:t>
      </w:r>
      <w:r w:rsidRPr="00112531">
        <w:rPr>
          <w:rFonts w:ascii="Verdana" w:hAnsi="Verdana"/>
          <w:b/>
          <w:bCs/>
          <w:sz w:val="24"/>
          <w:szCs w:val="24"/>
        </w:rPr>
        <w:t>meilleure répartition des charges</w:t>
      </w:r>
      <w:r w:rsidRPr="00112531">
        <w:rPr>
          <w:rFonts w:ascii="Verdana" w:hAnsi="Verdana"/>
          <w:sz w:val="24"/>
          <w:szCs w:val="24"/>
        </w:rPr>
        <w:t xml:space="preserve">, une </w:t>
      </w:r>
      <w:r w:rsidRPr="00112531">
        <w:rPr>
          <w:rFonts w:ascii="Verdana" w:hAnsi="Verdana"/>
          <w:b/>
          <w:bCs/>
          <w:sz w:val="24"/>
          <w:szCs w:val="24"/>
        </w:rPr>
        <w:t>réduction du courant circulant pour une même puissance délivrée</w:t>
      </w:r>
      <w:r w:rsidRPr="00112531">
        <w:rPr>
          <w:rFonts w:ascii="Verdana" w:hAnsi="Verdana"/>
          <w:sz w:val="24"/>
          <w:szCs w:val="24"/>
        </w:rPr>
        <w:t>, et donc une baisse significative des pertes linéiques.</w:t>
      </w:r>
    </w:p>
    <w:p w14:paraId="49178686" w14:textId="77777777" w:rsidR="00112531" w:rsidRPr="00112531" w:rsidRDefault="00112531" w:rsidP="009F3FAA">
      <w:pPr>
        <w:jc w:val="both"/>
        <w:rPr>
          <w:rFonts w:ascii="Verdana" w:hAnsi="Verdana"/>
          <w:sz w:val="24"/>
          <w:szCs w:val="24"/>
        </w:rPr>
      </w:pPr>
      <w:r w:rsidRPr="00112531">
        <w:rPr>
          <w:rFonts w:ascii="Verdana" w:hAnsi="Verdana"/>
          <w:sz w:val="24"/>
          <w:szCs w:val="24"/>
        </w:rPr>
        <w:t xml:space="preserve">Enfin, un effort particulier est réalisé sur le </w:t>
      </w:r>
      <w:r w:rsidRPr="00112531">
        <w:rPr>
          <w:rFonts w:ascii="Verdana" w:hAnsi="Verdana"/>
          <w:b/>
          <w:bCs/>
          <w:sz w:val="24"/>
          <w:szCs w:val="24"/>
        </w:rPr>
        <w:t>monitoring des consommations locales</w:t>
      </w:r>
      <w:r w:rsidRPr="00112531">
        <w:rPr>
          <w:rFonts w:ascii="Verdana" w:hAnsi="Verdana"/>
          <w:sz w:val="24"/>
          <w:szCs w:val="24"/>
        </w:rPr>
        <w:t xml:space="preserve">. Dans les cabines desservant des zones à forte densité de charge, des </w:t>
      </w:r>
      <w:r w:rsidRPr="00112531">
        <w:rPr>
          <w:rFonts w:ascii="Verdana" w:hAnsi="Verdana"/>
          <w:b/>
          <w:bCs/>
          <w:sz w:val="24"/>
          <w:szCs w:val="24"/>
        </w:rPr>
        <w:t>points de mesure précis sont installés</w:t>
      </w:r>
      <w:r w:rsidRPr="00112531">
        <w:rPr>
          <w:rFonts w:ascii="Verdana" w:hAnsi="Verdana"/>
          <w:sz w:val="24"/>
          <w:szCs w:val="24"/>
        </w:rPr>
        <w:t xml:space="preserve">, permettant une analyse détaillée des flux énergétiques. En fin d’année, une </w:t>
      </w:r>
      <w:r w:rsidRPr="00112531">
        <w:rPr>
          <w:rFonts w:ascii="Verdana" w:hAnsi="Verdana"/>
          <w:b/>
          <w:bCs/>
          <w:sz w:val="24"/>
          <w:szCs w:val="24"/>
        </w:rPr>
        <w:t>réconciliation des données de comptage</w:t>
      </w:r>
      <w:r w:rsidRPr="00112531">
        <w:rPr>
          <w:rFonts w:ascii="Verdana" w:hAnsi="Verdana"/>
          <w:sz w:val="24"/>
          <w:szCs w:val="24"/>
        </w:rPr>
        <w:t xml:space="preserve"> (entre énergie injectée et énergie livrée) permet de </w:t>
      </w:r>
      <w:r w:rsidRPr="00112531">
        <w:rPr>
          <w:rFonts w:ascii="Verdana" w:hAnsi="Verdana"/>
          <w:b/>
          <w:bCs/>
          <w:sz w:val="24"/>
          <w:szCs w:val="24"/>
        </w:rPr>
        <w:t>calculer avec précision le taux réel de pertes</w:t>
      </w:r>
      <w:r w:rsidRPr="00112531">
        <w:rPr>
          <w:rFonts w:ascii="Verdana" w:hAnsi="Verdana"/>
          <w:sz w:val="24"/>
          <w:szCs w:val="24"/>
        </w:rPr>
        <w:t xml:space="preserve"> sur chaque secteur du réseau, et d’orienter les actions correctives ou les investissements ciblés.</w:t>
      </w:r>
    </w:p>
    <w:p w14:paraId="26909B52" w14:textId="77777777" w:rsidR="00112531" w:rsidRPr="00112531" w:rsidRDefault="00112531" w:rsidP="009F3FAA">
      <w:pPr>
        <w:jc w:val="both"/>
        <w:rPr>
          <w:rFonts w:ascii="Verdana" w:hAnsi="Verdana"/>
          <w:sz w:val="24"/>
          <w:szCs w:val="24"/>
        </w:rPr>
      </w:pPr>
      <w:r w:rsidRPr="00112531">
        <w:rPr>
          <w:rFonts w:ascii="Verdana" w:hAnsi="Verdana"/>
          <w:sz w:val="24"/>
          <w:szCs w:val="24"/>
        </w:rPr>
        <w:t xml:space="preserve">Cette approche méthodique, couplée à une vision à long terme, permet à l’AIEG de </w:t>
      </w:r>
      <w:r w:rsidRPr="00112531">
        <w:rPr>
          <w:rFonts w:ascii="Verdana" w:hAnsi="Verdana"/>
          <w:b/>
          <w:bCs/>
          <w:sz w:val="24"/>
          <w:szCs w:val="24"/>
        </w:rPr>
        <w:t>maîtriser ses pertes techniques</w:t>
      </w:r>
      <w:r w:rsidRPr="00112531">
        <w:rPr>
          <w:rFonts w:ascii="Verdana" w:hAnsi="Verdana"/>
          <w:sz w:val="24"/>
          <w:szCs w:val="24"/>
        </w:rPr>
        <w:t xml:space="preserve"> tout en assurant une </w:t>
      </w:r>
      <w:r w:rsidRPr="00112531">
        <w:rPr>
          <w:rFonts w:ascii="Verdana" w:hAnsi="Verdana"/>
          <w:b/>
          <w:bCs/>
          <w:sz w:val="24"/>
          <w:szCs w:val="24"/>
        </w:rPr>
        <w:t>qualité d’alimentation optimale</w:t>
      </w:r>
      <w:r w:rsidRPr="00112531">
        <w:rPr>
          <w:rFonts w:ascii="Verdana" w:hAnsi="Verdana"/>
          <w:sz w:val="24"/>
          <w:szCs w:val="24"/>
        </w:rPr>
        <w:t xml:space="preserve"> pour ses utilisateurs.</w:t>
      </w:r>
    </w:p>
    <w:p w14:paraId="09F61D32" w14:textId="77777777" w:rsidR="00AA1986" w:rsidRDefault="00AA1986" w:rsidP="0081493F">
      <w:pPr>
        <w:ind w:left="1701"/>
        <w:rPr>
          <w:rFonts w:ascii="Verdana" w:hAnsi="Verdana"/>
          <w:b/>
          <w:i/>
          <w:sz w:val="20"/>
          <w:szCs w:val="20"/>
        </w:rPr>
      </w:pPr>
    </w:p>
    <w:p w14:paraId="41CAB0AD" w14:textId="28C91405" w:rsidR="00733915" w:rsidRPr="00800955" w:rsidRDefault="0081493F" w:rsidP="00800955">
      <w:pPr>
        <w:pStyle w:val="aieg4"/>
      </w:pPr>
      <w:proofErr w:type="gramStart"/>
      <w:r w:rsidRPr="00800955">
        <w:t>réduction</w:t>
      </w:r>
      <w:proofErr w:type="gramEnd"/>
      <w:r w:rsidRPr="00800955">
        <w:t xml:space="preserve"> des pertes administratives</w:t>
      </w:r>
    </w:p>
    <w:p w14:paraId="17E8A874" w14:textId="77777777" w:rsidR="00733915" w:rsidRPr="00733915" w:rsidRDefault="00733915" w:rsidP="00733915">
      <w:pPr>
        <w:pStyle w:val="Paragraphedeliste"/>
        <w:ind w:left="2781"/>
        <w:rPr>
          <w:rFonts w:ascii="Verdana" w:hAnsi="Verdana"/>
          <w:b/>
          <w:i/>
          <w:sz w:val="20"/>
          <w:szCs w:val="20"/>
        </w:rPr>
      </w:pPr>
    </w:p>
    <w:p w14:paraId="163FE462" w14:textId="77777777" w:rsidR="00B1209C" w:rsidRDefault="00B1209C" w:rsidP="00733915">
      <w:pPr>
        <w:pStyle w:val="Paragraphedeliste"/>
        <w:ind w:left="851"/>
        <w:jc w:val="both"/>
        <w:rPr>
          <w:rFonts w:ascii="Verdana" w:hAnsi="Verdana"/>
        </w:rPr>
      </w:pPr>
    </w:p>
    <w:p w14:paraId="7D57A919" w14:textId="77777777" w:rsidR="00B1209C" w:rsidRPr="00371937" w:rsidRDefault="00B1209C" w:rsidP="00B1209C">
      <w:pPr>
        <w:jc w:val="both"/>
        <w:rPr>
          <w:rFonts w:ascii="Verdana" w:hAnsi="Verdana"/>
          <w:sz w:val="24"/>
          <w:szCs w:val="24"/>
        </w:rPr>
      </w:pPr>
      <w:r w:rsidRPr="00371937">
        <w:rPr>
          <w:rFonts w:ascii="Verdana" w:hAnsi="Verdana"/>
          <w:sz w:val="24"/>
          <w:szCs w:val="24"/>
        </w:rPr>
        <w:t xml:space="preserve">L’AIEG met en œuvre une politique proactive de </w:t>
      </w:r>
      <w:r w:rsidRPr="00371937">
        <w:rPr>
          <w:rFonts w:ascii="Verdana" w:hAnsi="Verdana"/>
          <w:b/>
          <w:bCs/>
          <w:sz w:val="24"/>
          <w:szCs w:val="24"/>
        </w:rPr>
        <w:t>réduction des pertes administratives</w:t>
      </w:r>
      <w:r w:rsidRPr="00371937">
        <w:rPr>
          <w:rFonts w:ascii="Verdana" w:hAnsi="Verdana"/>
          <w:sz w:val="24"/>
          <w:szCs w:val="24"/>
        </w:rPr>
        <w:t xml:space="preserve">, lesquelles comprennent principalement les </w:t>
      </w:r>
      <w:r w:rsidRPr="00371937">
        <w:rPr>
          <w:rFonts w:ascii="Verdana" w:hAnsi="Verdana"/>
          <w:b/>
          <w:bCs/>
          <w:sz w:val="24"/>
          <w:szCs w:val="24"/>
        </w:rPr>
        <w:t>fraudes</w:t>
      </w:r>
      <w:r w:rsidRPr="00371937">
        <w:rPr>
          <w:rFonts w:ascii="Verdana" w:hAnsi="Verdana"/>
          <w:sz w:val="24"/>
          <w:szCs w:val="24"/>
        </w:rPr>
        <w:t xml:space="preserve">, les </w:t>
      </w:r>
      <w:r w:rsidRPr="00371937">
        <w:rPr>
          <w:rFonts w:ascii="Verdana" w:hAnsi="Verdana"/>
          <w:b/>
          <w:bCs/>
          <w:sz w:val="24"/>
          <w:szCs w:val="24"/>
        </w:rPr>
        <w:t>erreurs de comptage</w:t>
      </w:r>
      <w:r w:rsidRPr="00371937">
        <w:rPr>
          <w:rFonts w:ascii="Verdana" w:hAnsi="Verdana"/>
          <w:sz w:val="24"/>
          <w:szCs w:val="24"/>
        </w:rPr>
        <w:t xml:space="preserve">, les </w:t>
      </w:r>
      <w:r w:rsidRPr="00371937">
        <w:rPr>
          <w:rFonts w:ascii="Verdana" w:hAnsi="Verdana"/>
          <w:b/>
          <w:bCs/>
          <w:sz w:val="24"/>
          <w:szCs w:val="24"/>
        </w:rPr>
        <w:t>anomalies contractuelles</w:t>
      </w:r>
      <w:r w:rsidRPr="00371937">
        <w:rPr>
          <w:rFonts w:ascii="Verdana" w:hAnsi="Verdana"/>
          <w:sz w:val="24"/>
          <w:szCs w:val="24"/>
        </w:rPr>
        <w:t xml:space="preserve"> et les </w:t>
      </w:r>
      <w:r w:rsidRPr="00371937">
        <w:rPr>
          <w:rFonts w:ascii="Verdana" w:hAnsi="Verdana"/>
          <w:b/>
          <w:bCs/>
          <w:sz w:val="24"/>
          <w:szCs w:val="24"/>
        </w:rPr>
        <w:t>défauts de mise à jour des données techniques</w:t>
      </w:r>
      <w:r w:rsidRPr="00371937">
        <w:rPr>
          <w:rFonts w:ascii="Verdana" w:hAnsi="Verdana"/>
          <w:sz w:val="24"/>
          <w:szCs w:val="24"/>
        </w:rPr>
        <w:t>. Ces pertes, bien qu’indirectes, représentent un enjeu important en matière de performance économique, d’équité entre usagers et de fiabilité des données du système de distribution.</w:t>
      </w:r>
    </w:p>
    <w:p w14:paraId="26FF293B" w14:textId="77777777" w:rsidR="00B1209C" w:rsidRPr="00371937" w:rsidRDefault="00B1209C" w:rsidP="00B1209C">
      <w:pPr>
        <w:jc w:val="both"/>
        <w:rPr>
          <w:rFonts w:ascii="Verdana" w:hAnsi="Verdana"/>
          <w:sz w:val="24"/>
          <w:szCs w:val="24"/>
        </w:rPr>
      </w:pPr>
      <w:r w:rsidRPr="00371937">
        <w:rPr>
          <w:rFonts w:ascii="Verdana" w:hAnsi="Verdana"/>
          <w:sz w:val="24"/>
          <w:szCs w:val="24"/>
        </w:rPr>
        <w:lastRenderedPageBreak/>
        <w:t xml:space="preserve">Parmi les mesures concrètes déployées, l’AIEG renforce en priorité la </w:t>
      </w:r>
      <w:r w:rsidRPr="00371937">
        <w:rPr>
          <w:rFonts w:ascii="Verdana" w:hAnsi="Verdana"/>
          <w:b/>
          <w:bCs/>
          <w:sz w:val="24"/>
          <w:szCs w:val="24"/>
        </w:rPr>
        <w:t>détection des fraudes</w:t>
      </w:r>
      <w:r w:rsidRPr="00371937">
        <w:rPr>
          <w:rFonts w:ascii="Verdana" w:hAnsi="Verdana"/>
          <w:sz w:val="24"/>
          <w:szCs w:val="24"/>
        </w:rPr>
        <w:t xml:space="preserve"> via des </w:t>
      </w:r>
      <w:r w:rsidRPr="00371937">
        <w:rPr>
          <w:rFonts w:ascii="Verdana" w:hAnsi="Verdana"/>
          <w:b/>
          <w:bCs/>
          <w:sz w:val="24"/>
          <w:szCs w:val="24"/>
        </w:rPr>
        <w:t>algorithmes d’analyse de consommation atypique</w:t>
      </w:r>
      <w:r w:rsidRPr="00371937">
        <w:rPr>
          <w:rFonts w:ascii="Verdana" w:hAnsi="Verdana"/>
          <w:sz w:val="24"/>
          <w:szCs w:val="24"/>
        </w:rPr>
        <w:t xml:space="preserve">, développés en interne à partir des données issues des compteurs intelligents ou télé-relevés. Ces outils permettent d’identifier des baisses anormales de consommation, des absences d’enregistrement, ou des profils incohérents par rapport à l’usage déclaré. Les cas suspects sont ensuite vérifiés sur le terrain par des équipes dédiées. En cas de fraude avérée, des </w:t>
      </w:r>
      <w:r w:rsidRPr="00371937">
        <w:rPr>
          <w:rFonts w:ascii="Verdana" w:hAnsi="Verdana"/>
          <w:b/>
          <w:bCs/>
          <w:sz w:val="24"/>
          <w:szCs w:val="24"/>
        </w:rPr>
        <w:t>procédures de régularisation et de recouvrement</w:t>
      </w:r>
      <w:r w:rsidRPr="00371937">
        <w:rPr>
          <w:rFonts w:ascii="Verdana" w:hAnsi="Verdana"/>
          <w:sz w:val="24"/>
          <w:szCs w:val="24"/>
        </w:rPr>
        <w:t xml:space="preserve"> sont systématiquement engagées, conformément aux dispositions contractuelles.</w:t>
      </w:r>
    </w:p>
    <w:p w14:paraId="25DD8DBC" w14:textId="77777777" w:rsidR="00B1209C" w:rsidRPr="00371937" w:rsidRDefault="00B1209C" w:rsidP="00B1209C">
      <w:pPr>
        <w:jc w:val="both"/>
        <w:rPr>
          <w:rFonts w:ascii="Verdana" w:hAnsi="Verdana"/>
          <w:sz w:val="24"/>
          <w:szCs w:val="24"/>
        </w:rPr>
      </w:pPr>
      <w:r w:rsidRPr="00371937">
        <w:rPr>
          <w:rFonts w:ascii="Verdana" w:hAnsi="Verdana"/>
          <w:sz w:val="24"/>
          <w:szCs w:val="24"/>
        </w:rPr>
        <w:t xml:space="preserve">En parallèle, un </w:t>
      </w:r>
      <w:r w:rsidRPr="00371937">
        <w:rPr>
          <w:rFonts w:ascii="Verdana" w:hAnsi="Verdana"/>
          <w:b/>
          <w:bCs/>
          <w:sz w:val="24"/>
          <w:szCs w:val="24"/>
        </w:rPr>
        <w:t>programme de mise à jour des index de comptage</w:t>
      </w:r>
      <w:r w:rsidRPr="00371937">
        <w:rPr>
          <w:rFonts w:ascii="Verdana" w:hAnsi="Verdana"/>
          <w:sz w:val="24"/>
          <w:szCs w:val="24"/>
        </w:rPr>
        <w:t xml:space="preserve"> est mené régulièrement, notamment dans les cabines de transformation et sur les points sensibles du réseau, afin de garantir la cohérence entre l’énergie injectée et l’énergie facturée. Cette démarche contribue à </w:t>
      </w:r>
      <w:r w:rsidRPr="00371937">
        <w:rPr>
          <w:rFonts w:ascii="Verdana" w:hAnsi="Verdana"/>
          <w:b/>
          <w:bCs/>
          <w:sz w:val="24"/>
          <w:szCs w:val="24"/>
        </w:rPr>
        <w:t>réduire les écarts non expliqués</w:t>
      </w:r>
      <w:r w:rsidRPr="00371937">
        <w:rPr>
          <w:rFonts w:ascii="Verdana" w:hAnsi="Verdana"/>
          <w:sz w:val="24"/>
          <w:szCs w:val="24"/>
        </w:rPr>
        <w:t xml:space="preserve"> et à fiabiliser les processus de facturation.</w:t>
      </w:r>
    </w:p>
    <w:p w14:paraId="3F931BD8" w14:textId="77777777" w:rsidR="00B1209C" w:rsidRPr="00371937" w:rsidRDefault="00B1209C" w:rsidP="00B1209C">
      <w:pPr>
        <w:jc w:val="both"/>
        <w:rPr>
          <w:rFonts w:ascii="Verdana" w:hAnsi="Verdana"/>
          <w:sz w:val="24"/>
          <w:szCs w:val="24"/>
        </w:rPr>
      </w:pPr>
      <w:r w:rsidRPr="00371937">
        <w:rPr>
          <w:rFonts w:ascii="Verdana" w:hAnsi="Verdana"/>
          <w:sz w:val="24"/>
          <w:szCs w:val="24"/>
        </w:rPr>
        <w:t xml:space="preserve">L’AIEG a également engagé une </w:t>
      </w:r>
      <w:r w:rsidRPr="00371937">
        <w:rPr>
          <w:rFonts w:ascii="Verdana" w:hAnsi="Verdana"/>
          <w:b/>
          <w:bCs/>
          <w:sz w:val="24"/>
          <w:szCs w:val="24"/>
        </w:rPr>
        <w:t>campagne de vérification de la conformité contractuelle</w:t>
      </w:r>
      <w:r w:rsidRPr="00371937">
        <w:rPr>
          <w:rFonts w:ascii="Verdana" w:hAnsi="Verdana"/>
          <w:sz w:val="24"/>
          <w:szCs w:val="24"/>
        </w:rPr>
        <w:t xml:space="preserve"> de certains points de livraison (puissance souscrite, configuration du branchement, tarification), notamment dans les zones industrielles et les lotissements récents. Ces vérifications permettent d’identifier les situations où la consommation ne correspond pas aux paramètres contractuels, générant des erreurs de répartition ou de facturation.</w:t>
      </w:r>
    </w:p>
    <w:p w14:paraId="09A0104E" w14:textId="77777777" w:rsidR="00B1209C" w:rsidRPr="00371937" w:rsidRDefault="00B1209C" w:rsidP="00B1209C">
      <w:pPr>
        <w:jc w:val="both"/>
        <w:rPr>
          <w:rFonts w:ascii="Verdana" w:hAnsi="Verdana"/>
          <w:sz w:val="24"/>
          <w:szCs w:val="24"/>
        </w:rPr>
      </w:pPr>
      <w:r w:rsidRPr="00371937">
        <w:rPr>
          <w:rFonts w:ascii="Verdana" w:hAnsi="Verdana"/>
          <w:sz w:val="24"/>
          <w:szCs w:val="24"/>
        </w:rPr>
        <w:t xml:space="preserve">Enfin, la </w:t>
      </w:r>
      <w:r w:rsidRPr="00371937">
        <w:rPr>
          <w:rFonts w:ascii="Verdana" w:hAnsi="Verdana"/>
          <w:b/>
          <w:bCs/>
          <w:sz w:val="24"/>
          <w:szCs w:val="24"/>
        </w:rPr>
        <w:t>formation continue du personnel</w:t>
      </w:r>
      <w:r w:rsidRPr="00371937">
        <w:rPr>
          <w:rFonts w:ascii="Verdana" w:hAnsi="Verdana"/>
          <w:sz w:val="24"/>
          <w:szCs w:val="24"/>
        </w:rPr>
        <w:t xml:space="preserve"> chargé de la gestion clientèle et de la supervision technique complète ce dispositif, en assurant une meilleure détection des anomalies administratives, une réactivité accrue face aux signalements et une coordination renforcée entre les services techniques et commerciaux.</w:t>
      </w:r>
    </w:p>
    <w:p w14:paraId="5C9E23DA" w14:textId="77777777" w:rsidR="00B1209C" w:rsidRPr="00371937" w:rsidRDefault="00B1209C" w:rsidP="00B1209C">
      <w:pPr>
        <w:jc w:val="both"/>
        <w:rPr>
          <w:rFonts w:ascii="Verdana" w:hAnsi="Verdana"/>
          <w:sz w:val="24"/>
          <w:szCs w:val="24"/>
        </w:rPr>
      </w:pPr>
      <w:r w:rsidRPr="00371937">
        <w:rPr>
          <w:rFonts w:ascii="Verdana" w:hAnsi="Verdana"/>
          <w:sz w:val="24"/>
          <w:szCs w:val="24"/>
        </w:rPr>
        <w:t xml:space="preserve">Ces actions concertées visent à </w:t>
      </w:r>
      <w:r w:rsidRPr="00371937">
        <w:rPr>
          <w:rFonts w:ascii="Verdana" w:hAnsi="Verdana"/>
          <w:b/>
          <w:bCs/>
          <w:sz w:val="24"/>
          <w:szCs w:val="24"/>
        </w:rPr>
        <w:t>réduire les pertes non techniques</w:t>
      </w:r>
      <w:r w:rsidRPr="00371937">
        <w:rPr>
          <w:rFonts w:ascii="Verdana" w:hAnsi="Verdana"/>
          <w:sz w:val="24"/>
          <w:szCs w:val="24"/>
        </w:rPr>
        <w:t xml:space="preserve"> de manière durable, tout en </w:t>
      </w:r>
      <w:r w:rsidRPr="00371937">
        <w:rPr>
          <w:rFonts w:ascii="Verdana" w:hAnsi="Verdana"/>
          <w:b/>
          <w:bCs/>
          <w:sz w:val="24"/>
          <w:szCs w:val="24"/>
        </w:rPr>
        <w:t>renforçant la transparence et l’efficience de la gestion du réseau de distribution</w:t>
      </w:r>
      <w:r w:rsidRPr="00371937">
        <w:rPr>
          <w:rFonts w:ascii="Verdana" w:hAnsi="Verdana"/>
          <w:sz w:val="24"/>
          <w:szCs w:val="24"/>
        </w:rPr>
        <w:t>.</w:t>
      </w:r>
    </w:p>
    <w:p w14:paraId="46971064" w14:textId="77777777" w:rsidR="00B1209C" w:rsidRDefault="00B1209C" w:rsidP="00733915">
      <w:pPr>
        <w:pStyle w:val="Paragraphedeliste"/>
        <w:ind w:left="851"/>
        <w:jc w:val="both"/>
        <w:rPr>
          <w:rFonts w:ascii="Verdana" w:hAnsi="Verdana"/>
        </w:rPr>
      </w:pPr>
    </w:p>
    <w:p w14:paraId="79FDAA2D" w14:textId="77777777" w:rsidR="00B1209C" w:rsidRPr="00733915" w:rsidRDefault="00B1209C" w:rsidP="00733915">
      <w:pPr>
        <w:pStyle w:val="Paragraphedeliste"/>
        <w:ind w:left="851"/>
        <w:jc w:val="both"/>
        <w:rPr>
          <w:rFonts w:ascii="Verdana" w:hAnsi="Verdana"/>
        </w:rPr>
      </w:pPr>
    </w:p>
    <w:p w14:paraId="4F7955D6" w14:textId="45B6AD13" w:rsidR="00E15CFA" w:rsidRDefault="00E15CFA" w:rsidP="00FF2E54">
      <w:pPr>
        <w:ind w:left="1134"/>
        <w:rPr>
          <w:rFonts w:ascii="Verdana" w:hAnsi="Verdana"/>
        </w:rPr>
      </w:pPr>
      <w:r>
        <w:rPr>
          <w:rFonts w:ascii="Verdana" w:hAnsi="Verdana"/>
        </w:rPr>
        <w:br w:type="page"/>
      </w:r>
    </w:p>
    <w:p w14:paraId="7CDEC682" w14:textId="78BD33FC" w:rsidR="00FF2E54" w:rsidRDefault="00FF2E54" w:rsidP="00800955">
      <w:pPr>
        <w:pStyle w:val="AIEG3"/>
      </w:pPr>
      <w:r>
        <w:lastRenderedPageBreak/>
        <w:t xml:space="preserve">Remplacement des compteurs </w:t>
      </w:r>
    </w:p>
    <w:p w14:paraId="09726C48" w14:textId="2346D7D9" w:rsidR="00FF2E54" w:rsidRDefault="00FF2E54" w:rsidP="00800955">
      <w:pPr>
        <w:pStyle w:val="aieg4"/>
        <w:rPr>
          <w:b w:val="0"/>
        </w:rPr>
      </w:pPr>
      <w:r>
        <w:t>Compteurs à budget</w:t>
      </w:r>
    </w:p>
    <w:p w14:paraId="7DE15E61" w14:textId="53B0A94E" w:rsidR="004B0B77" w:rsidRDefault="00CD6DD7" w:rsidP="004B0B77">
      <w:pPr>
        <w:spacing w:after="240" w:line="240" w:lineRule="auto"/>
        <w:rPr>
          <w:rFonts w:ascii="Verdana" w:hAnsi="Verdana"/>
        </w:rPr>
      </w:pPr>
      <w:r>
        <w:rPr>
          <w:rFonts w:ascii="Verdana" w:hAnsi="Verdana"/>
        </w:rPr>
        <w:t>En 202</w:t>
      </w:r>
      <w:r w:rsidR="008A2815">
        <w:rPr>
          <w:rFonts w:ascii="Verdana" w:hAnsi="Verdana"/>
        </w:rPr>
        <w:t>4</w:t>
      </w:r>
      <w:r>
        <w:rPr>
          <w:rFonts w:ascii="Verdana" w:hAnsi="Verdana"/>
        </w:rPr>
        <w:t xml:space="preserve"> l’ensemble de parc de compteur à </w:t>
      </w:r>
      <w:proofErr w:type="gramStart"/>
      <w:r>
        <w:rPr>
          <w:rFonts w:ascii="Verdana" w:hAnsi="Verdana"/>
        </w:rPr>
        <w:t>budget  été</w:t>
      </w:r>
      <w:proofErr w:type="gramEnd"/>
      <w:r>
        <w:rPr>
          <w:rFonts w:ascii="Verdana" w:hAnsi="Verdana"/>
        </w:rPr>
        <w:t xml:space="preserve"> remplacé par des compteurs SMART </w:t>
      </w:r>
    </w:p>
    <w:p w14:paraId="0C019C9D" w14:textId="51EF7B15" w:rsidR="000F46AF" w:rsidRDefault="004B0B77" w:rsidP="004B0B77">
      <w:pPr>
        <w:spacing w:after="240" w:line="240" w:lineRule="auto"/>
        <w:rPr>
          <w:rFonts w:ascii="Verdana" w:hAnsi="Verdana"/>
        </w:rPr>
      </w:pPr>
      <w:r w:rsidRPr="004B0B77">
        <w:rPr>
          <w:rFonts w:ascii="Verdana" w:hAnsi="Verdana"/>
        </w:rPr>
        <w:t xml:space="preserve">Les compteurs à budgets non actifs sont petit à petit remplacés par des compteurs </w:t>
      </w:r>
      <w:r w:rsidR="00CD6DD7">
        <w:rPr>
          <w:rFonts w:ascii="Verdana" w:hAnsi="Verdana"/>
        </w:rPr>
        <w:t>SMART</w:t>
      </w:r>
      <w:r w:rsidRPr="004B0B77">
        <w:rPr>
          <w:rFonts w:ascii="Verdana" w:hAnsi="Verdana"/>
        </w:rPr>
        <w:t xml:space="preserve"> </w:t>
      </w:r>
    </w:p>
    <w:p w14:paraId="7A50E022" w14:textId="447D3595" w:rsidR="00FF2E54" w:rsidRDefault="00FF2E54" w:rsidP="00800955">
      <w:pPr>
        <w:pStyle w:val="aieg4"/>
        <w:rPr>
          <w:b w:val="0"/>
        </w:rPr>
      </w:pPr>
      <w:r>
        <w:t xml:space="preserve">Compteurs intelligents </w:t>
      </w:r>
    </w:p>
    <w:p w14:paraId="36D2B024" w14:textId="79A34594" w:rsidR="00EB5FEC" w:rsidRPr="00892F10" w:rsidRDefault="008A2815" w:rsidP="00892F10">
      <w:pPr>
        <w:spacing w:after="240" w:line="240" w:lineRule="auto"/>
        <w:jc w:val="both"/>
        <w:rPr>
          <w:rFonts w:ascii="Verdana" w:hAnsi="Verdana"/>
          <w:highlight w:val="yellow"/>
        </w:rPr>
      </w:pPr>
      <w:r>
        <w:rPr>
          <w:rFonts w:ascii="Verdana" w:hAnsi="Verdana"/>
          <w:highlight w:val="yellow"/>
        </w:rPr>
        <w:t>VOIR FICHIER EXCEL</w:t>
      </w:r>
      <w:r w:rsidR="00EB5FEC" w:rsidRPr="00892F10">
        <w:rPr>
          <w:rFonts w:ascii="Verdana" w:hAnsi="Verdana"/>
          <w:highlight w:val="yellow"/>
        </w:rPr>
        <w:t>.</w:t>
      </w:r>
    </w:p>
    <w:p w14:paraId="475AC681" w14:textId="23382406" w:rsidR="00FF2E54" w:rsidRPr="00800955" w:rsidRDefault="00FF2E54" w:rsidP="00800955">
      <w:pPr>
        <w:pStyle w:val="AIEG3"/>
      </w:pPr>
      <w:r w:rsidRPr="00800955">
        <w:t xml:space="preserve">Evolution vers les réseaux intelligents </w:t>
      </w:r>
    </w:p>
    <w:p w14:paraId="381BD4A1" w14:textId="77777777" w:rsidR="004F2883" w:rsidRPr="009F3FAA" w:rsidRDefault="004F2883" w:rsidP="004F2883">
      <w:pPr>
        <w:spacing w:after="240" w:line="240" w:lineRule="auto"/>
        <w:jc w:val="both"/>
        <w:rPr>
          <w:rFonts w:ascii="Verdana" w:hAnsi="Verdana"/>
          <w:sz w:val="24"/>
          <w:szCs w:val="24"/>
        </w:rPr>
      </w:pPr>
      <w:r w:rsidRPr="009F3FAA">
        <w:rPr>
          <w:rFonts w:ascii="Verdana" w:hAnsi="Verdana"/>
          <w:sz w:val="24"/>
          <w:szCs w:val="24"/>
        </w:rPr>
        <w:t>Conformément au décret, l’AIEG intègre progressivement dans sa stratégie de développement réseau des solutions alternatives aux investissements lourds en capacité, en misant sur la gestion intelligente du réseau, la flexibilité technique et commerciale, ainsi que l’intégration des ressources décentralisées. L’objectif est clair : éviter ou différer les renforcements coûteux en tirant parti des outils numériques, du comportement des utilisateurs et de l’évolution technologique.</w:t>
      </w:r>
    </w:p>
    <w:p w14:paraId="1EB8FAA8" w14:textId="77777777" w:rsidR="004F2883" w:rsidRPr="009F3FAA" w:rsidRDefault="004F2883" w:rsidP="004F2883">
      <w:pPr>
        <w:spacing w:after="240" w:line="240" w:lineRule="auto"/>
        <w:jc w:val="both"/>
        <w:rPr>
          <w:rFonts w:ascii="Verdana" w:hAnsi="Verdana"/>
          <w:sz w:val="24"/>
          <w:szCs w:val="24"/>
        </w:rPr>
      </w:pPr>
      <w:r w:rsidRPr="009F3FAA">
        <w:rPr>
          <w:rFonts w:ascii="Verdana" w:hAnsi="Verdana"/>
          <w:sz w:val="24"/>
          <w:szCs w:val="24"/>
        </w:rPr>
        <w:t>À cet effet, l’AIEG poursuit le déploiement d’outils d’observation, de mesure et de pilotage en temps réel, notamment à travers :</w:t>
      </w:r>
    </w:p>
    <w:p w14:paraId="3974D486" w14:textId="77777777" w:rsidR="004F2883" w:rsidRPr="009F3FAA" w:rsidRDefault="004F2883" w:rsidP="004F2883">
      <w:pPr>
        <w:spacing w:after="240" w:line="240" w:lineRule="auto"/>
        <w:jc w:val="both"/>
        <w:rPr>
          <w:rFonts w:ascii="Verdana" w:hAnsi="Verdana"/>
          <w:sz w:val="24"/>
          <w:szCs w:val="24"/>
        </w:rPr>
      </w:pPr>
      <w:r w:rsidRPr="009F3FAA">
        <w:rPr>
          <w:rFonts w:ascii="Verdana" w:hAnsi="Verdana"/>
          <w:sz w:val="24"/>
          <w:szCs w:val="24"/>
        </w:rPr>
        <w:t>L’installation systématique de capteurs communicants dans les nouvelles cabines de distribution MT/BT, intégrés à notre système SCADA ;</w:t>
      </w:r>
    </w:p>
    <w:p w14:paraId="5209FC2F" w14:textId="77777777" w:rsidR="004F2883" w:rsidRPr="009F3FAA" w:rsidRDefault="004F2883" w:rsidP="004F2883">
      <w:pPr>
        <w:spacing w:after="240" w:line="240" w:lineRule="auto"/>
        <w:jc w:val="both"/>
        <w:rPr>
          <w:rFonts w:ascii="Verdana" w:hAnsi="Verdana"/>
          <w:sz w:val="24"/>
          <w:szCs w:val="24"/>
        </w:rPr>
      </w:pPr>
      <w:r w:rsidRPr="009F3FAA">
        <w:rPr>
          <w:rFonts w:ascii="Verdana" w:hAnsi="Verdana"/>
          <w:sz w:val="24"/>
          <w:szCs w:val="24"/>
        </w:rPr>
        <w:t>La mise en place de modules de télémesure pour les grandeurs critiques (courant, tension, puissance, fréquence, température, etc.) ;</w:t>
      </w:r>
    </w:p>
    <w:p w14:paraId="641C794E" w14:textId="77777777" w:rsidR="004F2883" w:rsidRPr="009F3FAA" w:rsidRDefault="004F2883" w:rsidP="004F2883">
      <w:pPr>
        <w:spacing w:after="240" w:line="240" w:lineRule="auto"/>
        <w:jc w:val="both"/>
        <w:rPr>
          <w:rFonts w:ascii="Verdana" w:hAnsi="Verdana"/>
          <w:sz w:val="24"/>
          <w:szCs w:val="24"/>
        </w:rPr>
      </w:pPr>
      <w:r w:rsidRPr="009F3FAA">
        <w:rPr>
          <w:rFonts w:ascii="Verdana" w:hAnsi="Verdana"/>
          <w:sz w:val="24"/>
          <w:szCs w:val="24"/>
        </w:rPr>
        <w:t>L’interconnexion de ces dispositifs via un réseau de fibre optique, déployé progressivement en parallèle du réseau MT.</w:t>
      </w:r>
    </w:p>
    <w:p w14:paraId="33668432" w14:textId="77777777" w:rsidR="004F2883" w:rsidRPr="009F3FAA" w:rsidRDefault="004F2883" w:rsidP="004F2883">
      <w:pPr>
        <w:spacing w:after="240" w:line="240" w:lineRule="auto"/>
        <w:jc w:val="both"/>
        <w:rPr>
          <w:rFonts w:ascii="Verdana" w:hAnsi="Verdana"/>
          <w:sz w:val="24"/>
          <w:szCs w:val="24"/>
        </w:rPr>
      </w:pPr>
      <w:r w:rsidRPr="009F3FAA">
        <w:rPr>
          <w:rFonts w:ascii="Verdana" w:hAnsi="Verdana"/>
          <w:sz w:val="24"/>
          <w:szCs w:val="24"/>
        </w:rPr>
        <w:t>Ces équipements permettent d’assurer une surveillance continue de l’état du réseau, d’identifier les zones de congestion potentielles et de faciliter la reconfiguration dynamique des flux. Les données collectées sont consolidées dans notre plateforme d’analyse technique, et croisées avec les historiques de consommation pour affiner les prévisions de charge.</w:t>
      </w:r>
    </w:p>
    <w:p w14:paraId="7EEA4A5A" w14:textId="77777777" w:rsidR="004F2883" w:rsidRPr="009F3FAA" w:rsidRDefault="004F2883" w:rsidP="004F2883">
      <w:pPr>
        <w:spacing w:after="240" w:line="240" w:lineRule="auto"/>
        <w:jc w:val="both"/>
        <w:rPr>
          <w:rFonts w:ascii="Verdana" w:hAnsi="Verdana"/>
          <w:sz w:val="24"/>
          <w:szCs w:val="24"/>
        </w:rPr>
      </w:pPr>
      <w:r w:rsidRPr="009F3FAA">
        <w:rPr>
          <w:rFonts w:ascii="Verdana" w:hAnsi="Verdana"/>
          <w:sz w:val="24"/>
          <w:szCs w:val="24"/>
        </w:rPr>
        <w:t xml:space="preserve">Sur le plan de la flexibilité commerciale, l’AIEG explore la mise en œuvre de mécanismes incitatifs à destination de clients industriels ou tertiaires, afin d’adapter leur consommation ou leur injection lors de périodes critiques. Cette approche est testée dans certaines zones sous tension, avec pour objectif de valider les modèles de gestion active de la demande, en amont de projets d’investissement lourds. En parallèle, l’AIEG étudie la faisabilité de recours à des solutions de stockage stationnaire (batteries basse ou </w:t>
      </w:r>
      <w:r w:rsidRPr="009F3FAA">
        <w:rPr>
          <w:rFonts w:ascii="Verdana" w:hAnsi="Verdana"/>
          <w:sz w:val="24"/>
          <w:szCs w:val="24"/>
        </w:rPr>
        <w:lastRenderedPageBreak/>
        <w:t>moyenne tension) à titre pilote, notamment dans les poches rurales fortement équipées en production photovoltaïque.</w:t>
      </w:r>
    </w:p>
    <w:p w14:paraId="7D3356E0" w14:textId="77777777" w:rsidR="004F2883" w:rsidRPr="009F3FAA" w:rsidRDefault="004F2883" w:rsidP="004F2883">
      <w:pPr>
        <w:spacing w:after="240" w:line="240" w:lineRule="auto"/>
        <w:jc w:val="both"/>
        <w:rPr>
          <w:rFonts w:ascii="Verdana" w:hAnsi="Verdana"/>
          <w:sz w:val="24"/>
          <w:szCs w:val="24"/>
        </w:rPr>
      </w:pPr>
      <w:r w:rsidRPr="009F3FAA">
        <w:rPr>
          <w:rFonts w:ascii="Verdana" w:hAnsi="Verdana"/>
          <w:sz w:val="24"/>
          <w:szCs w:val="24"/>
        </w:rPr>
        <w:t>D’un point de vue informatique, l’AIEG a engagé la modernisation de son Système d’Information Géographique (GIS). Ce projet vise à améliorer la localisation des équipements, le diagnostic de réseau, le dimensionnement de nouveaux raccordements et l’identification des zones critiques. Les bénéfices attendus sont nombreux : réduction des délais de traitement, meilleure réactivité opérationnelle, et intégration fluide avec les outils de supervision et d’analyse réseau.</w:t>
      </w:r>
    </w:p>
    <w:p w14:paraId="3598DD11" w14:textId="77777777" w:rsidR="004F2883" w:rsidRPr="009F3FAA" w:rsidRDefault="004F2883" w:rsidP="004F2883">
      <w:pPr>
        <w:spacing w:after="240" w:line="240" w:lineRule="auto"/>
        <w:jc w:val="both"/>
        <w:rPr>
          <w:rFonts w:ascii="Verdana" w:hAnsi="Verdana"/>
          <w:sz w:val="24"/>
          <w:szCs w:val="24"/>
        </w:rPr>
      </w:pPr>
      <w:r w:rsidRPr="009F3FAA">
        <w:rPr>
          <w:rFonts w:ascii="Verdana" w:hAnsi="Verdana"/>
          <w:sz w:val="24"/>
          <w:szCs w:val="24"/>
        </w:rPr>
        <w:t>Enfin, une attention particulière est portée à la communication avec les utilisateurs du réseau. L’AIEG prévoit, à court terme, la mise en place de canaux de communication numériques, destinés à informer les utilisateurs des limitations de réseau, des périodes sensibles et des incitations liées à la flexibilité. Ce dialogue proactif est une condition essentielle à la réussite de cette transition vers un modèle de gestion intelligente et partagée du réseau de distribution.</w:t>
      </w:r>
    </w:p>
    <w:p w14:paraId="58AA81BA" w14:textId="77777777" w:rsidR="00A97E76" w:rsidRDefault="00A97E76" w:rsidP="00A97E76">
      <w:pPr>
        <w:spacing w:after="240" w:line="240" w:lineRule="auto"/>
        <w:jc w:val="both"/>
        <w:rPr>
          <w:rFonts w:ascii="Verdana" w:hAnsi="Verdana"/>
        </w:rPr>
      </w:pPr>
    </w:p>
    <w:p w14:paraId="2A0C5E8B" w14:textId="68F5265C" w:rsidR="00E02C0C" w:rsidRPr="000F46AF" w:rsidRDefault="00372D2E" w:rsidP="00372D2E">
      <w:pPr>
        <w:pStyle w:val="AIEG3"/>
      </w:pPr>
      <w:r>
        <w:t>Mesures de flexibilité</w:t>
      </w:r>
      <w:r w:rsidR="00E02C0C">
        <w:t xml:space="preserve"> </w:t>
      </w:r>
    </w:p>
    <w:tbl>
      <w:tblPr>
        <w:tblW w:w="780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2355"/>
        <w:gridCol w:w="2355"/>
      </w:tblGrid>
      <w:tr w:rsidR="00E02135" w:rsidRPr="0060111B" w14:paraId="4ED17A63" w14:textId="77777777" w:rsidTr="00C35C73">
        <w:trPr>
          <w:trHeight w:val="354"/>
        </w:trPr>
        <w:tc>
          <w:tcPr>
            <w:tcW w:w="3094" w:type="dxa"/>
            <w:shd w:val="clear" w:color="auto" w:fill="auto"/>
            <w:vAlign w:val="center"/>
          </w:tcPr>
          <w:p w14:paraId="5973D091" w14:textId="77777777" w:rsidR="00E02135" w:rsidRPr="001D66B4" w:rsidRDefault="00E02135" w:rsidP="00E02135">
            <w:pPr>
              <w:spacing w:after="0"/>
              <w:rPr>
                <w:sz w:val="20"/>
                <w:szCs w:val="20"/>
              </w:rPr>
            </w:pPr>
          </w:p>
        </w:tc>
        <w:tc>
          <w:tcPr>
            <w:tcW w:w="2355" w:type="dxa"/>
          </w:tcPr>
          <w:p w14:paraId="4B154003" w14:textId="2E679B00" w:rsidR="00E02135" w:rsidRDefault="00E02135" w:rsidP="00E02135">
            <w:pPr>
              <w:spacing w:after="0"/>
              <w:jc w:val="center"/>
              <w:rPr>
                <w:color w:val="FF0000"/>
              </w:rPr>
            </w:pPr>
            <w:r>
              <w:rPr>
                <w:color w:val="FF0000"/>
              </w:rPr>
              <w:t>202</w:t>
            </w:r>
            <w:r w:rsidR="00DF1105">
              <w:rPr>
                <w:color w:val="FF0000"/>
              </w:rPr>
              <w:t>4</w:t>
            </w:r>
          </w:p>
        </w:tc>
        <w:tc>
          <w:tcPr>
            <w:tcW w:w="2355" w:type="dxa"/>
            <w:shd w:val="clear" w:color="auto" w:fill="FFFF00"/>
          </w:tcPr>
          <w:p w14:paraId="09459E2B" w14:textId="6563197A" w:rsidR="00E02135" w:rsidRDefault="00E02135" w:rsidP="00E02135">
            <w:pPr>
              <w:spacing w:after="0"/>
              <w:jc w:val="center"/>
              <w:rPr>
                <w:color w:val="FF0000"/>
              </w:rPr>
            </w:pPr>
            <w:r>
              <w:rPr>
                <w:color w:val="FF0000"/>
              </w:rPr>
              <w:t>20</w:t>
            </w:r>
            <w:r w:rsidR="006249A8">
              <w:rPr>
                <w:color w:val="FF0000"/>
              </w:rPr>
              <w:t>2</w:t>
            </w:r>
            <w:r w:rsidR="00DF1105">
              <w:rPr>
                <w:color w:val="FF0000"/>
              </w:rPr>
              <w:t>3</w:t>
            </w:r>
          </w:p>
        </w:tc>
      </w:tr>
      <w:tr w:rsidR="00E02135" w:rsidRPr="0060111B" w14:paraId="0540F955" w14:textId="77777777" w:rsidTr="00C35C73">
        <w:trPr>
          <w:trHeight w:val="354"/>
        </w:trPr>
        <w:tc>
          <w:tcPr>
            <w:tcW w:w="3094" w:type="dxa"/>
            <w:shd w:val="clear" w:color="auto" w:fill="auto"/>
            <w:vAlign w:val="center"/>
          </w:tcPr>
          <w:p w14:paraId="328239AC" w14:textId="77777777" w:rsidR="00E02135" w:rsidRPr="001D66B4" w:rsidRDefault="00E02135" w:rsidP="00E02135">
            <w:pPr>
              <w:spacing w:after="0"/>
              <w:rPr>
                <w:sz w:val="20"/>
                <w:szCs w:val="20"/>
              </w:rPr>
            </w:pPr>
            <w:r w:rsidRPr="001D66B4">
              <w:rPr>
                <w:sz w:val="20"/>
                <w:szCs w:val="20"/>
              </w:rPr>
              <w:t>Nbre d'URD actifs (R1/R3DP/SDR/Prod)</w:t>
            </w:r>
          </w:p>
        </w:tc>
        <w:tc>
          <w:tcPr>
            <w:tcW w:w="2355" w:type="dxa"/>
          </w:tcPr>
          <w:p w14:paraId="10B3BAA9" w14:textId="65B8179A" w:rsidR="00E02135" w:rsidRDefault="00E02135" w:rsidP="00E02135">
            <w:pPr>
              <w:spacing w:after="0"/>
              <w:jc w:val="center"/>
              <w:rPr>
                <w:color w:val="FF0000"/>
              </w:rPr>
            </w:pPr>
            <w:r>
              <w:rPr>
                <w:color w:val="FF0000"/>
              </w:rPr>
              <w:t>1</w:t>
            </w:r>
          </w:p>
        </w:tc>
        <w:tc>
          <w:tcPr>
            <w:tcW w:w="2355" w:type="dxa"/>
            <w:shd w:val="clear" w:color="auto" w:fill="FFFF00"/>
          </w:tcPr>
          <w:p w14:paraId="48EB4849" w14:textId="5207CF97" w:rsidR="00E02135" w:rsidRPr="00442685" w:rsidRDefault="00E02135" w:rsidP="00E02135">
            <w:pPr>
              <w:spacing w:after="0"/>
              <w:jc w:val="center"/>
              <w:rPr>
                <w:color w:val="FF0000"/>
              </w:rPr>
            </w:pPr>
            <w:r>
              <w:rPr>
                <w:color w:val="FF0000"/>
              </w:rPr>
              <w:t>1</w:t>
            </w:r>
          </w:p>
        </w:tc>
      </w:tr>
      <w:tr w:rsidR="00E02135" w:rsidRPr="0060111B" w14:paraId="7256FA40" w14:textId="77777777" w:rsidTr="00C35C73">
        <w:trPr>
          <w:trHeight w:val="313"/>
        </w:trPr>
        <w:tc>
          <w:tcPr>
            <w:tcW w:w="3094" w:type="dxa"/>
            <w:shd w:val="clear" w:color="auto" w:fill="auto"/>
            <w:vAlign w:val="center"/>
          </w:tcPr>
          <w:p w14:paraId="28A9D911" w14:textId="77777777" w:rsidR="00E02135" w:rsidRPr="001D66B4" w:rsidRDefault="00E02135" w:rsidP="00E02135">
            <w:pPr>
              <w:spacing w:after="0"/>
              <w:rPr>
                <w:sz w:val="20"/>
                <w:szCs w:val="20"/>
              </w:rPr>
            </w:pPr>
            <w:r w:rsidRPr="001D66B4">
              <w:rPr>
                <w:sz w:val="20"/>
                <w:szCs w:val="20"/>
              </w:rPr>
              <w:t xml:space="preserve">P max </w:t>
            </w:r>
            <w:proofErr w:type="spellStart"/>
            <w:r w:rsidRPr="001D66B4">
              <w:rPr>
                <w:sz w:val="20"/>
                <w:szCs w:val="20"/>
              </w:rPr>
              <w:t>flex</w:t>
            </w:r>
            <w:proofErr w:type="spellEnd"/>
            <w:r w:rsidRPr="001D66B4">
              <w:rPr>
                <w:sz w:val="20"/>
                <w:szCs w:val="20"/>
              </w:rPr>
              <w:t xml:space="preserve"> activable (MVA)</w:t>
            </w:r>
          </w:p>
        </w:tc>
        <w:tc>
          <w:tcPr>
            <w:tcW w:w="2355" w:type="dxa"/>
          </w:tcPr>
          <w:p w14:paraId="47D945DB" w14:textId="626E682D" w:rsidR="00E02135" w:rsidRDefault="00E02135" w:rsidP="00E02135">
            <w:pPr>
              <w:spacing w:after="0"/>
              <w:jc w:val="center"/>
              <w:rPr>
                <w:color w:val="FF0000"/>
              </w:rPr>
            </w:pPr>
            <w:r>
              <w:rPr>
                <w:color w:val="FF0000"/>
              </w:rPr>
              <w:t>2 MVA</w:t>
            </w:r>
          </w:p>
        </w:tc>
        <w:tc>
          <w:tcPr>
            <w:tcW w:w="2355" w:type="dxa"/>
            <w:shd w:val="clear" w:color="auto" w:fill="FFFF00"/>
          </w:tcPr>
          <w:p w14:paraId="16F93AF1" w14:textId="45AAE328" w:rsidR="00E02135" w:rsidRPr="00442685" w:rsidRDefault="00E02135" w:rsidP="00E02135">
            <w:pPr>
              <w:spacing w:after="0"/>
              <w:jc w:val="center"/>
              <w:rPr>
                <w:color w:val="FF0000"/>
              </w:rPr>
            </w:pPr>
            <w:r>
              <w:rPr>
                <w:color w:val="FF0000"/>
              </w:rPr>
              <w:t>2 MVA</w:t>
            </w:r>
          </w:p>
        </w:tc>
      </w:tr>
      <w:tr w:rsidR="00E02135" w:rsidRPr="0060111B" w14:paraId="646B4198" w14:textId="77777777" w:rsidTr="00C35C73">
        <w:trPr>
          <w:trHeight w:val="16"/>
        </w:trPr>
        <w:tc>
          <w:tcPr>
            <w:tcW w:w="3094" w:type="dxa"/>
            <w:shd w:val="clear" w:color="auto" w:fill="auto"/>
            <w:vAlign w:val="center"/>
          </w:tcPr>
          <w:p w14:paraId="0DCB6D21" w14:textId="383483B9" w:rsidR="00E02135" w:rsidRPr="001D66B4" w:rsidRDefault="00E02135" w:rsidP="00E02135">
            <w:pPr>
              <w:spacing w:after="0"/>
              <w:rPr>
                <w:sz w:val="20"/>
                <w:szCs w:val="20"/>
              </w:rPr>
            </w:pPr>
            <w:r w:rsidRPr="001D66B4">
              <w:rPr>
                <w:sz w:val="20"/>
                <w:szCs w:val="20"/>
              </w:rPr>
              <w:t xml:space="preserve">N activations au cours de l'année </w:t>
            </w:r>
            <w:r w:rsidRPr="000C5440">
              <w:rPr>
                <w:sz w:val="20"/>
                <w:szCs w:val="20"/>
              </w:rPr>
              <w:t>202</w:t>
            </w:r>
            <w:r w:rsidR="009D37F5">
              <w:rPr>
                <w:sz w:val="20"/>
                <w:szCs w:val="20"/>
              </w:rPr>
              <w:t>2</w:t>
            </w:r>
          </w:p>
        </w:tc>
        <w:tc>
          <w:tcPr>
            <w:tcW w:w="2355" w:type="dxa"/>
          </w:tcPr>
          <w:p w14:paraId="71483C22" w14:textId="409F8281" w:rsidR="00E02135" w:rsidRDefault="00E02135" w:rsidP="00E02135">
            <w:pPr>
              <w:spacing w:after="0"/>
              <w:jc w:val="center"/>
              <w:rPr>
                <w:color w:val="FF0000"/>
              </w:rPr>
            </w:pPr>
            <w:r>
              <w:rPr>
                <w:color w:val="FF0000"/>
              </w:rPr>
              <w:t>0</w:t>
            </w:r>
          </w:p>
        </w:tc>
        <w:tc>
          <w:tcPr>
            <w:tcW w:w="2355" w:type="dxa"/>
            <w:shd w:val="clear" w:color="auto" w:fill="FFFF00"/>
          </w:tcPr>
          <w:p w14:paraId="5026327A" w14:textId="3FDF36DB" w:rsidR="00E02135" w:rsidRPr="00442685" w:rsidRDefault="00E02135" w:rsidP="00E02135">
            <w:pPr>
              <w:spacing w:after="0"/>
              <w:jc w:val="center"/>
              <w:rPr>
                <w:color w:val="FF0000"/>
              </w:rPr>
            </w:pPr>
            <w:r>
              <w:rPr>
                <w:color w:val="FF0000"/>
              </w:rPr>
              <w:t>0</w:t>
            </w:r>
          </w:p>
        </w:tc>
      </w:tr>
    </w:tbl>
    <w:p w14:paraId="29989B6E" w14:textId="77777777" w:rsidR="001B49A6" w:rsidRDefault="001B49A6" w:rsidP="000F46AF">
      <w:pPr>
        <w:ind w:left="1134"/>
        <w:rPr>
          <w:rFonts w:ascii="Verdana" w:hAnsi="Verdana"/>
        </w:rPr>
      </w:pPr>
    </w:p>
    <w:p w14:paraId="60DA26B2" w14:textId="2714ED04" w:rsidR="000F46AF" w:rsidRPr="000F46AF" w:rsidRDefault="004F2883" w:rsidP="00372D2E">
      <w:pPr>
        <w:pStyle w:val="AIEG3"/>
      </w:pPr>
      <w:r>
        <w:t>Autre Motivation</w:t>
      </w:r>
    </w:p>
    <w:p w14:paraId="7FA6E229" w14:textId="13D47552" w:rsidR="00372D2E" w:rsidRDefault="00784C67" w:rsidP="003007A4">
      <w:pPr>
        <w:spacing w:after="240" w:line="240" w:lineRule="auto"/>
        <w:jc w:val="both"/>
        <w:rPr>
          <w:rFonts w:ascii="Verdana" w:hAnsi="Verdana"/>
        </w:rPr>
      </w:pPr>
      <w:r>
        <w:rPr>
          <w:rFonts w:ascii="Verdana" w:hAnsi="Verdana"/>
        </w:rPr>
        <w:t xml:space="preserve">NEANT </w:t>
      </w:r>
    </w:p>
    <w:p w14:paraId="56953D0C" w14:textId="706AFB5E" w:rsidR="00372D2E" w:rsidRPr="00FB06E6" w:rsidRDefault="00DD6506" w:rsidP="004F2883">
      <w:pPr>
        <w:pStyle w:val="AIEG3"/>
      </w:pPr>
      <w:r>
        <w:t xml:space="preserve">Projets Subventionnés </w:t>
      </w:r>
    </w:p>
    <w:p w14:paraId="0ACD74F4" w14:textId="3994A959" w:rsidR="001B49A6" w:rsidRDefault="001B49A6" w:rsidP="001B49A6">
      <w:pPr>
        <w:jc w:val="both"/>
        <w:rPr>
          <w:rFonts w:ascii="Verdana" w:hAnsi="Verdana"/>
        </w:rPr>
      </w:pPr>
    </w:p>
    <w:p w14:paraId="3A967AA9" w14:textId="77777777" w:rsidR="00024D27" w:rsidRPr="009F3FAA" w:rsidRDefault="00024D27" w:rsidP="00024D27">
      <w:pPr>
        <w:jc w:val="both"/>
        <w:rPr>
          <w:rFonts w:ascii="Verdana" w:hAnsi="Verdana"/>
          <w:sz w:val="24"/>
          <w:szCs w:val="24"/>
        </w:rPr>
      </w:pPr>
      <w:r w:rsidRPr="009F3FAA">
        <w:rPr>
          <w:rFonts w:ascii="Verdana" w:hAnsi="Verdana"/>
          <w:sz w:val="24"/>
          <w:szCs w:val="24"/>
        </w:rPr>
        <w:t xml:space="preserve">Dans le cadre des appels à projets lancés par le </w:t>
      </w:r>
      <w:r w:rsidRPr="009F3FAA">
        <w:rPr>
          <w:rFonts w:ascii="Verdana" w:hAnsi="Verdana"/>
          <w:b/>
          <w:bCs/>
          <w:sz w:val="24"/>
          <w:szCs w:val="24"/>
        </w:rPr>
        <w:t>Gouvernement Wallon pour accélérer la transition énergétique</w:t>
      </w:r>
      <w:r w:rsidRPr="009F3FAA">
        <w:rPr>
          <w:rFonts w:ascii="Verdana" w:hAnsi="Verdana"/>
          <w:sz w:val="24"/>
          <w:szCs w:val="24"/>
        </w:rPr>
        <w:t xml:space="preserve">, l’AIEG a soumis deux dossiers structurants visant à améliorer l’intelligence, la flexibilité et l’efficacité de son réseau de distribution. Ces projets ont été introduits sous la motivation </w:t>
      </w:r>
      <w:r w:rsidRPr="009F3FAA">
        <w:rPr>
          <w:rFonts w:ascii="Verdana" w:hAnsi="Verdana"/>
          <w:b/>
          <w:bCs/>
          <w:sz w:val="24"/>
          <w:szCs w:val="24"/>
        </w:rPr>
        <w:t>« Subvention GW pour accélérer la transition énergétique »</w:t>
      </w:r>
      <w:r w:rsidRPr="009F3FAA">
        <w:rPr>
          <w:rFonts w:ascii="Verdana" w:hAnsi="Verdana"/>
          <w:sz w:val="24"/>
          <w:szCs w:val="24"/>
        </w:rPr>
        <w:t xml:space="preserve">, conformément aux dispositions prévues par le décret. Ils figurent dans les </w:t>
      </w:r>
      <w:r w:rsidRPr="009F3FAA">
        <w:rPr>
          <w:rFonts w:ascii="Verdana" w:hAnsi="Verdana"/>
          <w:b/>
          <w:bCs/>
          <w:sz w:val="24"/>
          <w:szCs w:val="24"/>
        </w:rPr>
        <w:t>onglets "projets" du plan d’adaptation (Tab 2, Tab 3 et Tab 5)</w:t>
      </w:r>
      <w:r w:rsidRPr="009F3FAA">
        <w:rPr>
          <w:rFonts w:ascii="Verdana" w:hAnsi="Verdana"/>
          <w:sz w:val="24"/>
          <w:szCs w:val="24"/>
        </w:rPr>
        <w:t xml:space="preserve">, et font l’objet d’un suivi administratif rigoureux. Toute évolution (refus, </w:t>
      </w:r>
      <w:r w:rsidRPr="009F3FAA">
        <w:rPr>
          <w:rFonts w:ascii="Verdana" w:hAnsi="Verdana"/>
          <w:sz w:val="24"/>
          <w:szCs w:val="24"/>
        </w:rPr>
        <w:lastRenderedPageBreak/>
        <w:t>modification ou acceptation partielle) entraînera une mise à jour immédiate du plan.</w:t>
      </w:r>
    </w:p>
    <w:p w14:paraId="39EC8933" w14:textId="77777777" w:rsidR="00024D27" w:rsidRPr="009F3FAA" w:rsidRDefault="00024D27" w:rsidP="00024D27">
      <w:pPr>
        <w:jc w:val="both"/>
        <w:rPr>
          <w:rFonts w:ascii="Verdana" w:hAnsi="Verdana"/>
          <w:sz w:val="24"/>
          <w:szCs w:val="24"/>
        </w:rPr>
      </w:pPr>
      <w:r w:rsidRPr="009F3FAA">
        <w:rPr>
          <w:rFonts w:ascii="Verdana" w:hAnsi="Verdana"/>
          <w:sz w:val="24"/>
          <w:szCs w:val="24"/>
        </w:rPr>
        <w:t xml:space="preserve">Le </w:t>
      </w:r>
      <w:r w:rsidRPr="009F3FAA">
        <w:rPr>
          <w:rFonts w:ascii="Verdana" w:hAnsi="Verdana"/>
          <w:b/>
          <w:bCs/>
          <w:sz w:val="24"/>
          <w:szCs w:val="24"/>
        </w:rPr>
        <w:t>premier projet</w:t>
      </w:r>
      <w:r w:rsidRPr="009F3FAA">
        <w:rPr>
          <w:rFonts w:ascii="Verdana" w:hAnsi="Verdana"/>
          <w:sz w:val="24"/>
          <w:szCs w:val="24"/>
        </w:rPr>
        <w:t xml:space="preserve"> concerne l’</w:t>
      </w:r>
      <w:r w:rsidRPr="009F3FAA">
        <w:rPr>
          <w:rFonts w:ascii="Verdana" w:hAnsi="Verdana"/>
          <w:b/>
          <w:bCs/>
          <w:sz w:val="24"/>
          <w:szCs w:val="24"/>
        </w:rPr>
        <w:t xml:space="preserve">installation de transformateurs </w:t>
      </w:r>
      <w:proofErr w:type="spellStart"/>
      <w:r w:rsidRPr="009F3FAA">
        <w:rPr>
          <w:rFonts w:ascii="Verdana" w:hAnsi="Verdana"/>
          <w:b/>
          <w:bCs/>
          <w:sz w:val="24"/>
          <w:szCs w:val="24"/>
        </w:rPr>
        <w:t>autorégulants</w:t>
      </w:r>
      <w:proofErr w:type="spellEnd"/>
      <w:r w:rsidRPr="009F3FAA">
        <w:rPr>
          <w:rFonts w:ascii="Verdana" w:hAnsi="Verdana"/>
          <w:b/>
          <w:bCs/>
          <w:sz w:val="24"/>
          <w:szCs w:val="24"/>
        </w:rPr>
        <w:t xml:space="preserve"> (OLT - On </w:t>
      </w:r>
      <w:proofErr w:type="spellStart"/>
      <w:r w:rsidRPr="009F3FAA">
        <w:rPr>
          <w:rFonts w:ascii="Verdana" w:hAnsi="Verdana"/>
          <w:b/>
          <w:bCs/>
          <w:sz w:val="24"/>
          <w:szCs w:val="24"/>
        </w:rPr>
        <w:t>Load</w:t>
      </w:r>
      <w:proofErr w:type="spellEnd"/>
      <w:r w:rsidRPr="009F3FAA">
        <w:rPr>
          <w:rFonts w:ascii="Verdana" w:hAnsi="Verdana"/>
          <w:b/>
          <w:bCs/>
          <w:sz w:val="24"/>
          <w:szCs w:val="24"/>
        </w:rPr>
        <w:t xml:space="preserve"> </w:t>
      </w:r>
      <w:proofErr w:type="spellStart"/>
      <w:r w:rsidRPr="009F3FAA">
        <w:rPr>
          <w:rFonts w:ascii="Verdana" w:hAnsi="Verdana"/>
          <w:b/>
          <w:bCs/>
          <w:sz w:val="24"/>
          <w:szCs w:val="24"/>
        </w:rPr>
        <w:t>Tap</w:t>
      </w:r>
      <w:proofErr w:type="spellEnd"/>
      <w:r w:rsidRPr="009F3FAA">
        <w:rPr>
          <w:rFonts w:ascii="Verdana" w:hAnsi="Verdana"/>
          <w:b/>
          <w:bCs/>
          <w:sz w:val="24"/>
          <w:szCs w:val="24"/>
        </w:rPr>
        <w:t xml:space="preserve"> </w:t>
      </w:r>
      <w:proofErr w:type="spellStart"/>
      <w:r w:rsidRPr="009F3FAA">
        <w:rPr>
          <w:rFonts w:ascii="Verdana" w:hAnsi="Verdana"/>
          <w:b/>
          <w:bCs/>
          <w:sz w:val="24"/>
          <w:szCs w:val="24"/>
        </w:rPr>
        <w:t>Changers</w:t>
      </w:r>
      <w:proofErr w:type="spellEnd"/>
      <w:r w:rsidRPr="009F3FAA">
        <w:rPr>
          <w:rFonts w:ascii="Verdana" w:hAnsi="Verdana"/>
          <w:b/>
          <w:bCs/>
          <w:sz w:val="24"/>
          <w:szCs w:val="24"/>
        </w:rPr>
        <w:t>)</w:t>
      </w:r>
      <w:r w:rsidRPr="009F3FAA">
        <w:rPr>
          <w:rFonts w:ascii="Verdana" w:hAnsi="Verdana"/>
          <w:sz w:val="24"/>
          <w:szCs w:val="24"/>
        </w:rPr>
        <w:t xml:space="preserve"> dans les cabines secondaires. Ces transformateurs sont capables d’ajuster automatiquement leur rapport de transformation en fonction de la tension mesurée, ce qui permet de </w:t>
      </w:r>
      <w:r w:rsidRPr="009F3FAA">
        <w:rPr>
          <w:rFonts w:ascii="Verdana" w:hAnsi="Verdana"/>
          <w:b/>
          <w:bCs/>
          <w:sz w:val="24"/>
          <w:szCs w:val="24"/>
        </w:rPr>
        <w:t>maintenir la tension dans les tolérances requises</w:t>
      </w:r>
      <w:r w:rsidRPr="009F3FAA">
        <w:rPr>
          <w:rFonts w:ascii="Verdana" w:hAnsi="Verdana"/>
          <w:sz w:val="24"/>
          <w:szCs w:val="24"/>
        </w:rPr>
        <w:t xml:space="preserve">, malgré les variations liées à l’injection d’électricité renouvelable (principalement photovoltaïque) et à l’évolution de la charge. Ce dispositif est particulièrement pertinent dans les </w:t>
      </w:r>
      <w:r w:rsidRPr="009F3FAA">
        <w:rPr>
          <w:rFonts w:ascii="Verdana" w:hAnsi="Verdana"/>
          <w:b/>
          <w:bCs/>
          <w:sz w:val="24"/>
          <w:szCs w:val="24"/>
        </w:rPr>
        <w:t>zones rurales fortement équipées en production décentralisée</w:t>
      </w:r>
      <w:r w:rsidRPr="009F3FAA">
        <w:rPr>
          <w:rFonts w:ascii="Verdana" w:hAnsi="Verdana"/>
          <w:sz w:val="24"/>
          <w:szCs w:val="24"/>
        </w:rPr>
        <w:t xml:space="preserve">, où les phénomènes de </w:t>
      </w:r>
      <w:r w:rsidRPr="009F3FAA">
        <w:rPr>
          <w:rFonts w:ascii="Verdana" w:hAnsi="Verdana"/>
          <w:b/>
          <w:bCs/>
          <w:sz w:val="24"/>
          <w:szCs w:val="24"/>
        </w:rPr>
        <w:t>surtension en période d’ensoleillement</w:t>
      </w:r>
      <w:r w:rsidRPr="009F3FAA">
        <w:rPr>
          <w:rFonts w:ascii="Verdana" w:hAnsi="Verdana"/>
          <w:sz w:val="24"/>
          <w:szCs w:val="24"/>
        </w:rPr>
        <w:t xml:space="preserve"> ou de </w:t>
      </w:r>
      <w:r w:rsidRPr="009F3FAA">
        <w:rPr>
          <w:rFonts w:ascii="Verdana" w:hAnsi="Verdana"/>
          <w:b/>
          <w:bCs/>
          <w:sz w:val="24"/>
          <w:szCs w:val="24"/>
        </w:rPr>
        <w:t>chute de tension en période de forte consommation</w:t>
      </w:r>
      <w:r w:rsidRPr="009F3FAA">
        <w:rPr>
          <w:rFonts w:ascii="Verdana" w:hAnsi="Verdana"/>
          <w:sz w:val="24"/>
          <w:szCs w:val="24"/>
        </w:rPr>
        <w:t xml:space="preserve"> sont récurrents. L’objectif de ce projet est de réduire la nécessité de renforcements lourds du réseau BT, tout en </w:t>
      </w:r>
      <w:r w:rsidRPr="009F3FAA">
        <w:rPr>
          <w:rFonts w:ascii="Verdana" w:hAnsi="Verdana"/>
          <w:b/>
          <w:bCs/>
          <w:sz w:val="24"/>
          <w:szCs w:val="24"/>
        </w:rPr>
        <w:t>préservant la qualité de la tension</w:t>
      </w:r>
      <w:r w:rsidRPr="009F3FAA">
        <w:rPr>
          <w:rFonts w:ascii="Verdana" w:hAnsi="Verdana"/>
          <w:sz w:val="24"/>
          <w:szCs w:val="24"/>
        </w:rPr>
        <w:t xml:space="preserve"> au niveau des clients finaux.</w:t>
      </w:r>
    </w:p>
    <w:p w14:paraId="42584145" w14:textId="77777777" w:rsidR="00024D27" w:rsidRPr="009F3FAA" w:rsidRDefault="00024D27" w:rsidP="00024D27">
      <w:pPr>
        <w:jc w:val="both"/>
        <w:rPr>
          <w:rFonts w:ascii="Verdana" w:hAnsi="Verdana"/>
          <w:sz w:val="24"/>
          <w:szCs w:val="24"/>
        </w:rPr>
      </w:pPr>
      <w:r w:rsidRPr="009F3FAA">
        <w:rPr>
          <w:rFonts w:ascii="Verdana" w:hAnsi="Verdana"/>
          <w:sz w:val="24"/>
          <w:szCs w:val="24"/>
        </w:rPr>
        <w:t xml:space="preserve">Le </w:t>
      </w:r>
      <w:r w:rsidRPr="009F3FAA">
        <w:rPr>
          <w:rFonts w:ascii="Verdana" w:hAnsi="Verdana"/>
          <w:b/>
          <w:bCs/>
          <w:sz w:val="24"/>
          <w:szCs w:val="24"/>
        </w:rPr>
        <w:t>deuxième projet</w:t>
      </w:r>
      <w:r w:rsidRPr="009F3FAA">
        <w:rPr>
          <w:rFonts w:ascii="Verdana" w:hAnsi="Verdana"/>
          <w:sz w:val="24"/>
          <w:szCs w:val="24"/>
        </w:rPr>
        <w:t xml:space="preserve"> porte sur l’</w:t>
      </w:r>
      <w:r w:rsidRPr="009F3FAA">
        <w:rPr>
          <w:rFonts w:ascii="Verdana" w:hAnsi="Verdana"/>
          <w:b/>
          <w:bCs/>
          <w:sz w:val="24"/>
          <w:szCs w:val="24"/>
        </w:rPr>
        <w:t>équipement systématique des cabines secondaires en RTU (</w:t>
      </w:r>
      <w:proofErr w:type="spellStart"/>
      <w:r w:rsidRPr="009F3FAA">
        <w:rPr>
          <w:rFonts w:ascii="Verdana" w:hAnsi="Verdana"/>
          <w:b/>
          <w:bCs/>
          <w:sz w:val="24"/>
          <w:szCs w:val="24"/>
        </w:rPr>
        <w:t>Remote</w:t>
      </w:r>
      <w:proofErr w:type="spellEnd"/>
      <w:r w:rsidRPr="009F3FAA">
        <w:rPr>
          <w:rFonts w:ascii="Verdana" w:hAnsi="Verdana"/>
          <w:b/>
          <w:bCs/>
          <w:sz w:val="24"/>
          <w:szCs w:val="24"/>
        </w:rPr>
        <w:t xml:space="preserve"> Terminal </w:t>
      </w:r>
      <w:proofErr w:type="spellStart"/>
      <w:r w:rsidRPr="009F3FAA">
        <w:rPr>
          <w:rFonts w:ascii="Verdana" w:hAnsi="Verdana"/>
          <w:b/>
          <w:bCs/>
          <w:sz w:val="24"/>
          <w:szCs w:val="24"/>
        </w:rPr>
        <w:t>Units</w:t>
      </w:r>
      <w:proofErr w:type="spellEnd"/>
      <w:r w:rsidRPr="009F3FAA">
        <w:rPr>
          <w:rFonts w:ascii="Verdana" w:hAnsi="Verdana"/>
          <w:b/>
          <w:bCs/>
          <w:sz w:val="24"/>
          <w:szCs w:val="24"/>
        </w:rPr>
        <w:t>)</w:t>
      </w:r>
      <w:r w:rsidRPr="009F3FAA">
        <w:rPr>
          <w:rFonts w:ascii="Verdana" w:hAnsi="Verdana"/>
          <w:sz w:val="24"/>
          <w:szCs w:val="24"/>
        </w:rPr>
        <w:t xml:space="preserve">. Ces modules de télécontrôle permettent la </w:t>
      </w:r>
      <w:r w:rsidRPr="009F3FAA">
        <w:rPr>
          <w:rFonts w:ascii="Verdana" w:hAnsi="Verdana"/>
          <w:b/>
          <w:bCs/>
          <w:sz w:val="24"/>
          <w:szCs w:val="24"/>
        </w:rPr>
        <w:t>télésurveillance et la télécommande des équipements MT/BT</w:t>
      </w:r>
      <w:r w:rsidRPr="009F3FAA">
        <w:rPr>
          <w:rFonts w:ascii="Verdana" w:hAnsi="Verdana"/>
          <w:sz w:val="24"/>
          <w:szCs w:val="24"/>
        </w:rPr>
        <w:t xml:space="preserve"> installés dans les cabines, avec une remontée des données en temps réel vers le système </w:t>
      </w:r>
      <w:r w:rsidRPr="009F3FAA">
        <w:rPr>
          <w:rFonts w:ascii="Verdana" w:hAnsi="Verdana"/>
          <w:b/>
          <w:bCs/>
          <w:sz w:val="24"/>
          <w:szCs w:val="24"/>
        </w:rPr>
        <w:t>SCADA</w:t>
      </w:r>
      <w:r w:rsidRPr="009F3FAA">
        <w:rPr>
          <w:rFonts w:ascii="Verdana" w:hAnsi="Verdana"/>
          <w:sz w:val="24"/>
          <w:szCs w:val="24"/>
        </w:rPr>
        <w:t xml:space="preserve"> de l’AIEG. Le projet vise à augmenter la capacité d’observation du réseau, à </w:t>
      </w:r>
      <w:r w:rsidRPr="009F3FAA">
        <w:rPr>
          <w:rFonts w:ascii="Verdana" w:hAnsi="Verdana"/>
          <w:b/>
          <w:bCs/>
          <w:sz w:val="24"/>
          <w:szCs w:val="24"/>
        </w:rPr>
        <w:t>faciliter la localisation des défauts</w:t>
      </w:r>
      <w:r w:rsidRPr="009F3FAA">
        <w:rPr>
          <w:rFonts w:ascii="Verdana" w:hAnsi="Verdana"/>
          <w:sz w:val="24"/>
          <w:szCs w:val="24"/>
        </w:rPr>
        <w:t xml:space="preserve">, à </w:t>
      </w:r>
      <w:r w:rsidRPr="009F3FAA">
        <w:rPr>
          <w:rFonts w:ascii="Verdana" w:hAnsi="Verdana"/>
          <w:b/>
          <w:bCs/>
          <w:sz w:val="24"/>
          <w:szCs w:val="24"/>
        </w:rPr>
        <w:t>réduire les temps de coupure</w:t>
      </w:r>
      <w:r w:rsidRPr="009F3FAA">
        <w:rPr>
          <w:rFonts w:ascii="Verdana" w:hAnsi="Verdana"/>
          <w:sz w:val="24"/>
          <w:szCs w:val="24"/>
        </w:rPr>
        <w:t xml:space="preserve"> et à </w:t>
      </w:r>
      <w:r w:rsidRPr="009F3FAA">
        <w:rPr>
          <w:rFonts w:ascii="Verdana" w:hAnsi="Verdana"/>
          <w:b/>
          <w:bCs/>
          <w:sz w:val="24"/>
          <w:szCs w:val="24"/>
        </w:rPr>
        <w:t>optimiser les manœuvres en cas d’incident ou de maintenance planifiée</w:t>
      </w:r>
      <w:r w:rsidRPr="009F3FAA">
        <w:rPr>
          <w:rFonts w:ascii="Verdana" w:hAnsi="Verdana"/>
          <w:sz w:val="24"/>
          <w:szCs w:val="24"/>
        </w:rPr>
        <w:t xml:space="preserve">. En dotant progressivement son réseau secondaire de capacités de communication, l’AIEG anticipe l’évolution vers un </w:t>
      </w:r>
      <w:r w:rsidRPr="009F3FAA">
        <w:rPr>
          <w:rFonts w:ascii="Verdana" w:hAnsi="Verdana"/>
          <w:b/>
          <w:bCs/>
          <w:sz w:val="24"/>
          <w:szCs w:val="24"/>
        </w:rPr>
        <w:t>réseau plus automatisé et intelligent</w:t>
      </w:r>
      <w:r w:rsidRPr="009F3FAA">
        <w:rPr>
          <w:rFonts w:ascii="Verdana" w:hAnsi="Verdana"/>
          <w:sz w:val="24"/>
          <w:szCs w:val="24"/>
        </w:rPr>
        <w:t>, mieux préparé à gérer les flux de puissance non linéaires issus des productions locales ou des mobilités électriques.</w:t>
      </w:r>
    </w:p>
    <w:p w14:paraId="4ECCC271" w14:textId="77777777" w:rsidR="00024D27" w:rsidRPr="009F3FAA" w:rsidRDefault="00024D27" w:rsidP="00024D27">
      <w:pPr>
        <w:jc w:val="both"/>
        <w:rPr>
          <w:rFonts w:ascii="Verdana" w:hAnsi="Verdana"/>
          <w:sz w:val="24"/>
          <w:szCs w:val="24"/>
        </w:rPr>
      </w:pPr>
      <w:r w:rsidRPr="009F3FAA">
        <w:rPr>
          <w:rFonts w:ascii="Verdana" w:hAnsi="Verdana"/>
          <w:sz w:val="24"/>
          <w:szCs w:val="24"/>
        </w:rPr>
        <w:t xml:space="preserve">Ces deux projets répondent directement aux objectifs stratégiques régionaux en matière de transition énergétique, tout en apportant des </w:t>
      </w:r>
      <w:r w:rsidRPr="009F3FAA">
        <w:rPr>
          <w:rFonts w:ascii="Verdana" w:hAnsi="Verdana"/>
          <w:b/>
          <w:bCs/>
          <w:sz w:val="24"/>
          <w:szCs w:val="24"/>
        </w:rPr>
        <w:t>bénéfices concrets en termes de fiabilité, de résilience et d’efficacité énergétique</w:t>
      </w:r>
      <w:r w:rsidRPr="009F3FAA">
        <w:rPr>
          <w:rFonts w:ascii="Verdana" w:hAnsi="Verdana"/>
          <w:sz w:val="24"/>
          <w:szCs w:val="24"/>
        </w:rPr>
        <w:t>. Leur succès dépendra à la fois du soutien financier du GW et de leur intégration cohérente dans les cycles de renouvellement du réseau existant.</w:t>
      </w:r>
    </w:p>
    <w:p w14:paraId="656AFCB0" w14:textId="77777777" w:rsidR="00024D27" w:rsidRDefault="00024D27" w:rsidP="00024D27">
      <w:pPr>
        <w:jc w:val="both"/>
        <w:rPr>
          <w:rFonts w:ascii="Verdana" w:hAnsi="Verdana"/>
        </w:rPr>
      </w:pPr>
    </w:p>
    <w:p w14:paraId="4AECE4F4" w14:textId="77777777" w:rsidR="00A33148" w:rsidRDefault="00A33148">
      <w:pPr>
        <w:rPr>
          <w:rFonts w:ascii="Verdana" w:hAnsi="Verdana"/>
          <w:b/>
          <w:color w:val="000000" w:themeColor="text1"/>
          <w:sz w:val="32"/>
          <w:szCs w:val="32"/>
        </w:rPr>
      </w:pPr>
      <w:r>
        <w:br w:type="page"/>
      </w:r>
    </w:p>
    <w:p w14:paraId="6E255B5B" w14:textId="2FA0E7E4" w:rsidR="00024D27" w:rsidRPr="00024D27" w:rsidRDefault="00024D27" w:rsidP="00BD45B9">
      <w:pPr>
        <w:pStyle w:val="AIEG1"/>
      </w:pPr>
      <w:r w:rsidRPr="00024D27">
        <w:lastRenderedPageBreak/>
        <w:t>LISTE DES TRAVAUX NOMINATIFS PROGRAMMÉS ET ÉVALUATION BUDGÉTAIRE PAR PROJET</w:t>
      </w:r>
    </w:p>
    <w:p w14:paraId="4F3DECAE" w14:textId="6A9B0D60" w:rsidR="00024D27" w:rsidRDefault="00A33148" w:rsidP="001B49A6">
      <w:pPr>
        <w:jc w:val="both"/>
        <w:rPr>
          <w:rFonts w:ascii="Verdana" w:hAnsi="Verdana"/>
        </w:rPr>
      </w:pPr>
      <w:r w:rsidRPr="00A33148">
        <w:rPr>
          <w:rFonts w:ascii="Verdana" w:hAnsi="Verdana"/>
          <w:highlight w:val="yellow"/>
        </w:rPr>
        <w:t>Voir fichier EXCELL</w:t>
      </w:r>
    </w:p>
    <w:p w14:paraId="66C7BC06" w14:textId="26BEEF30" w:rsidR="004F2883" w:rsidRDefault="00BD45B9" w:rsidP="00BD45B9">
      <w:pPr>
        <w:pStyle w:val="AIEG1"/>
      </w:pPr>
      <w:r w:rsidRPr="00BD45B9">
        <w:t>PLAN DE DÉPLOIEMENT DES COMPTEURS COMMUNICANTS</w:t>
      </w:r>
    </w:p>
    <w:p w14:paraId="12AC4A2F" w14:textId="23888F5C" w:rsidR="00A33148" w:rsidRPr="00C27C05" w:rsidRDefault="00A33148" w:rsidP="00C27C05">
      <w:pPr>
        <w:jc w:val="both"/>
        <w:rPr>
          <w:rFonts w:ascii="Verdana" w:hAnsi="Verdana"/>
          <w:highlight w:val="yellow"/>
        </w:rPr>
      </w:pPr>
      <w:r w:rsidRPr="00C27C05">
        <w:rPr>
          <w:rFonts w:ascii="Verdana" w:hAnsi="Verdana"/>
          <w:highlight w:val="yellow"/>
        </w:rPr>
        <w:t>Voir fichier EXCEL</w:t>
      </w:r>
    </w:p>
    <w:p w14:paraId="7319494E" w14:textId="77777777" w:rsidR="00BD45B9" w:rsidRDefault="00BD45B9" w:rsidP="00BD45B9">
      <w:pPr>
        <w:pStyle w:val="AIEG1"/>
        <w:numPr>
          <w:ilvl w:val="0"/>
          <w:numId w:val="0"/>
        </w:numPr>
      </w:pPr>
    </w:p>
    <w:p w14:paraId="250DD2C6" w14:textId="77777777" w:rsidR="00A33148" w:rsidRPr="00A33148" w:rsidRDefault="00BD45B9" w:rsidP="00A33148">
      <w:pPr>
        <w:pStyle w:val="AIEG1"/>
        <w:rPr>
          <w:sz w:val="22"/>
          <w:szCs w:val="22"/>
        </w:rPr>
      </w:pPr>
      <w:r w:rsidRPr="00BD45B9">
        <w:t>SUIVI DES TRANSFORMATEURS DE DISTRIBUTION</w:t>
      </w:r>
    </w:p>
    <w:p w14:paraId="61BA85CD" w14:textId="2C7BC6DB" w:rsidR="00A33148" w:rsidRPr="00C27C05" w:rsidRDefault="00A33148" w:rsidP="00C27C05">
      <w:pPr>
        <w:jc w:val="both"/>
        <w:rPr>
          <w:rFonts w:ascii="Verdana" w:hAnsi="Verdana"/>
          <w:highlight w:val="yellow"/>
        </w:rPr>
      </w:pPr>
      <w:r w:rsidRPr="00C27C05">
        <w:rPr>
          <w:rFonts w:ascii="Verdana" w:hAnsi="Verdana"/>
          <w:highlight w:val="yellow"/>
        </w:rPr>
        <w:t>Voir fichier EXCEL</w:t>
      </w:r>
    </w:p>
    <w:p w14:paraId="04647D28" w14:textId="77777777" w:rsidR="001B49A6" w:rsidRDefault="001B49A6" w:rsidP="001B49A6">
      <w:pPr>
        <w:jc w:val="both"/>
        <w:rPr>
          <w:rFonts w:cstheme="minorHAnsi"/>
          <w:i/>
          <w:iCs/>
          <w:sz w:val="28"/>
          <w:szCs w:val="28"/>
        </w:rPr>
      </w:pPr>
    </w:p>
    <w:p w14:paraId="0D1516A9" w14:textId="47B0764F" w:rsidR="009C0E95" w:rsidRPr="009C0E95" w:rsidRDefault="00BD45B9" w:rsidP="00BD45B9">
      <w:pPr>
        <w:pStyle w:val="AIEG1"/>
      </w:pPr>
      <w:r w:rsidRPr="00BD45B9">
        <w:t>ANNEXES</w:t>
      </w:r>
    </w:p>
    <w:p w14:paraId="7D130577" w14:textId="77777777" w:rsidR="009C0E95" w:rsidRPr="009C0E95" w:rsidRDefault="009C0E95" w:rsidP="009C0E95">
      <w:pPr>
        <w:ind w:left="851"/>
        <w:rPr>
          <w:rFonts w:ascii="Verdana" w:hAnsi="Verdana"/>
          <w:b/>
          <w:sz w:val="24"/>
          <w:szCs w:val="24"/>
        </w:rPr>
      </w:pPr>
    </w:p>
    <w:sectPr w:rsidR="009C0E95" w:rsidRPr="009C0E95" w:rsidSect="00B25C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6F78B" w14:textId="77777777" w:rsidR="00316ED6" w:rsidRDefault="00316ED6">
      <w:pPr>
        <w:spacing w:after="0" w:line="240" w:lineRule="auto"/>
      </w:pPr>
      <w:r>
        <w:separator/>
      </w:r>
    </w:p>
  </w:endnote>
  <w:endnote w:type="continuationSeparator" w:id="0">
    <w:p w14:paraId="2CDAF8F4" w14:textId="77777777" w:rsidR="00316ED6" w:rsidRDefault="0031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E547" w14:textId="77777777" w:rsidR="002D7C30" w:rsidRDefault="002D7C30"/>
  <w:tbl>
    <w:tblPr>
      <w:tblStyle w:val="Grilledutableau"/>
      <w:tblW w:w="945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3"/>
      <w:gridCol w:w="2561"/>
    </w:tblGrid>
    <w:tr w:rsidR="002D7C30" w:rsidRPr="005E3264" w14:paraId="69EB8AFF" w14:textId="77777777" w:rsidTr="00F421B1">
      <w:trPr>
        <w:trHeight w:val="276"/>
      </w:trPr>
      <w:tc>
        <w:tcPr>
          <w:tcW w:w="6893" w:type="dxa"/>
        </w:tcPr>
        <w:p w14:paraId="5471BE71" w14:textId="438BAF61" w:rsidR="002D7C30" w:rsidRPr="005E3264" w:rsidRDefault="002D7C30" w:rsidP="00F421B1">
          <w:pPr>
            <w:rPr>
              <w:rFonts w:ascii="Verdana" w:hAnsi="Verdana"/>
              <w:sz w:val="16"/>
              <w:szCs w:val="16"/>
              <w:u w:val="single"/>
            </w:rPr>
          </w:pPr>
          <w:r>
            <w:rPr>
              <w:rFonts w:ascii="Verdana" w:hAnsi="Verdana"/>
              <w:sz w:val="16"/>
              <w:szCs w:val="16"/>
              <w:u w:val="single"/>
            </w:rPr>
            <w:t>Année 202</w:t>
          </w:r>
          <w:r w:rsidR="00B014FF">
            <w:rPr>
              <w:rFonts w:ascii="Verdana" w:hAnsi="Verdana"/>
              <w:sz w:val="16"/>
              <w:szCs w:val="16"/>
              <w:u w:val="single"/>
            </w:rPr>
            <w:t>5</w:t>
          </w:r>
          <w:r>
            <w:rPr>
              <w:rFonts w:ascii="Verdana" w:hAnsi="Verdana"/>
              <w:sz w:val="16"/>
              <w:szCs w:val="16"/>
              <w:u w:val="single"/>
            </w:rPr>
            <w:t xml:space="preserve"> – Plan d’adaptation 202</w:t>
          </w:r>
          <w:r w:rsidR="00B014FF">
            <w:rPr>
              <w:rFonts w:ascii="Verdana" w:hAnsi="Verdana"/>
              <w:sz w:val="16"/>
              <w:szCs w:val="16"/>
              <w:u w:val="single"/>
            </w:rPr>
            <w:t>6</w:t>
          </w:r>
          <w:r>
            <w:rPr>
              <w:rFonts w:ascii="Verdana" w:hAnsi="Verdana"/>
              <w:sz w:val="16"/>
              <w:szCs w:val="16"/>
              <w:u w:val="single"/>
            </w:rPr>
            <w:t>-20</w:t>
          </w:r>
          <w:r w:rsidR="00FC1211">
            <w:rPr>
              <w:rFonts w:ascii="Verdana" w:hAnsi="Verdana"/>
              <w:sz w:val="16"/>
              <w:szCs w:val="16"/>
              <w:u w:val="single"/>
            </w:rPr>
            <w:t>3</w:t>
          </w:r>
          <w:r w:rsidR="009610A7">
            <w:rPr>
              <w:rFonts w:ascii="Verdana" w:hAnsi="Verdana"/>
              <w:sz w:val="16"/>
              <w:szCs w:val="16"/>
              <w:u w:val="single"/>
            </w:rPr>
            <w:t>0</w:t>
          </w:r>
        </w:p>
      </w:tc>
      <w:tc>
        <w:tcPr>
          <w:tcW w:w="2561" w:type="dxa"/>
        </w:tcPr>
        <w:p w14:paraId="2AA3D33D" w14:textId="77777777" w:rsidR="002D7C30" w:rsidRPr="00934891" w:rsidRDefault="002D7C30" w:rsidP="00F421B1">
          <w:pPr>
            <w:jc w:val="right"/>
            <w:rPr>
              <w:rFonts w:ascii="Verdana" w:hAnsi="Verdana"/>
              <w:sz w:val="16"/>
              <w:szCs w:val="16"/>
            </w:rPr>
          </w:pPr>
          <w:r w:rsidRPr="00934891">
            <w:rPr>
              <w:rFonts w:ascii="Verdana" w:hAnsi="Verdana"/>
              <w:sz w:val="16"/>
              <w:szCs w:val="16"/>
            </w:rPr>
            <w:t xml:space="preserve">Page </w:t>
          </w:r>
          <w:r w:rsidRPr="00934891">
            <w:rPr>
              <w:rFonts w:ascii="Verdana" w:hAnsi="Verdana"/>
              <w:sz w:val="16"/>
              <w:szCs w:val="16"/>
            </w:rPr>
            <w:fldChar w:fldCharType="begin"/>
          </w:r>
          <w:r w:rsidRPr="00934891">
            <w:rPr>
              <w:rFonts w:ascii="Verdana" w:hAnsi="Verdana"/>
              <w:sz w:val="16"/>
              <w:szCs w:val="16"/>
            </w:rPr>
            <w:instrText xml:space="preserve"> PAGE   \* MERGEFORMAT </w:instrText>
          </w:r>
          <w:r w:rsidRPr="00934891">
            <w:rPr>
              <w:rFonts w:ascii="Verdana" w:hAnsi="Verdana"/>
              <w:sz w:val="16"/>
              <w:szCs w:val="16"/>
            </w:rPr>
            <w:fldChar w:fldCharType="separate"/>
          </w:r>
          <w:r>
            <w:rPr>
              <w:rFonts w:ascii="Verdana" w:hAnsi="Verdana"/>
              <w:noProof/>
              <w:sz w:val="16"/>
              <w:szCs w:val="16"/>
            </w:rPr>
            <w:t>30</w:t>
          </w:r>
          <w:r w:rsidRPr="00934891">
            <w:rPr>
              <w:rFonts w:ascii="Verdana" w:hAnsi="Verdana"/>
              <w:sz w:val="16"/>
              <w:szCs w:val="16"/>
            </w:rPr>
            <w:fldChar w:fldCharType="end"/>
          </w:r>
        </w:p>
      </w:tc>
    </w:tr>
  </w:tbl>
  <w:p w14:paraId="0C404F8D" w14:textId="77777777" w:rsidR="002D7C30" w:rsidRPr="005E3264" w:rsidRDefault="002D7C30" w:rsidP="00F42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ACE1E" w14:textId="77777777" w:rsidR="00316ED6" w:rsidRDefault="00316ED6">
      <w:pPr>
        <w:spacing w:after="0" w:line="240" w:lineRule="auto"/>
      </w:pPr>
      <w:r>
        <w:separator/>
      </w:r>
    </w:p>
  </w:footnote>
  <w:footnote w:type="continuationSeparator" w:id="0">
    <w:p w14:paraId="270A1691" w14:textId="77777777" w:rsidR="00316ED6" w:rsidRDefault="00316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A83"/>
    <w:multiLevelType w:val="hybridMultilevel"/>
    <w:tmpl w:val="A42A7DC6"/>
    <w:lvl w:ilvl="0" w:tplc="080C0001">
      <w:start w:val="1"/>
      <w:numFmt w:val="bullet"/>
      <w:lvlText w:val=""/>
      <w:lvlJc w:val="left"/>
      <w:pPr>
        <w:ind w:left="2421" w:hanging="360"/>
      </w:pPr>
      <w:rPr>
        <w:rFonts w:ascii="Symbol" w:hAnsi="Symbol"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1" w15:restartNumberingAfterBreak="0">
    <w:nsid w:val="01BD69BD"/>
    <w:multiLevelType w:val="multilevel"/>
    <w:tmpl w:val="731EB1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0C37BD"/>
    <w:multiLevelType w:val="hybridMultilevel"/>
    <w:tmpl w:val="09BE153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B9F7E36"/>
    <w:multiLevelType w:val="multilevel"/>
    <w:tmpl w:val="742C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4DD"/>
    <w:multiLevelType w:val="hybridMultilevel"/>
    <w:tmpl w:val="4050B8CC"/>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5" w15:restartNumberingAfterBreak="0">
    <w:nsid w:val="11866640"/>
    <w:multiLevelType w:val="hybridMultilevel"/>
    <w:tmpl w:val="F6640786"/>
    <w:lvl w:ilvl="0" w:tplc="D236F7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265B62"/>
    <w:multiLevelType w:val="hybridMultilevel"/>
    <w:tmpl w:val="FD960F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3C46978"/>
    <w:multiLevelType w:val="multilevel"/>
    <w:tmpl w:val="F42A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31AA5"/>
    <w:multiLevelType w:val="multilevel"/>
    <w:tmpl w:val="C3E8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72B5F"/>
    <w:multiLevelType w:val="multilevel"/>
    <w:tmpl w:val="26FA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A0723"/>
    <w:multiLevelType w:val="hybridMultilevel"/>
    <w:tmpl w:val="90AEE1FA"/>
    <w:lvl w:ilvl="0" w:tplc="75C0B4F4">
      <w:start w:val="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D020371"/>
    <w:multiLevelType w:val="hybridMultilevel"/>
    <w:tmpl w:val="8822EE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A41FCB"/>
    <w:multiLevelType w:val="multilevel"/>
    <w:tmpl w:val="CFF8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A2E3D"/>
    <w:multiLevelType w:val="multilevel"/>
    <w:tmpl w:val="2A36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326BB"/>
    <w:multiLevelType w:val="multilevel"/>
    <w:tmpl w:val="070CC496"/>
    <w:lvl w:ilvl="0">
      <w:start w:val="4"/>
      <w:numFmt w:val="decimal"/>
      <w:lvlText w:val="%1"/>
      <w:lvlJc w:val="left"/>
      <w:pPr>
        <w:ind w:left="765" w:hanging="765"/>
      </w:pPr>
      <w:rPr>
        <w:rFonts w:hint="default"/>
      </w:rPr>
    </w:lvl>
    <w:lvl w:ilvl="1">
      <w:start w:val="2"/>
      <w:numFmt w:val="decimal"/>
      <w:lvlText w:val="%1.%2"/>
      <w:lvlJc w:val="left"/>
      <w:pPr>
        <w:ind w:left="1332" w:hanging="765"/>
      </w:pPr>
      <w:rPr>
        <w:rFonts w:hint="default"/>
      </w:rPr>
    </w:lvl>
    <w:lvl w:ilvl="2">
      <w:start w:val="6"/>
      <w:numFmt w:val="decimal"/>
      <w:lvlText w:val="%1.%2.%3"/>
      <w:lvlJc w:val="left"/>
      <w:pPr>
        <w:ind w:left="1899" w:hanging="765"/>
      </w:pPr>
      <w:rPr>
        <w:rFonts w:hint="default"/>
      </w:rPr>
    </w:lvl>
    <w:lvl w:ilvl="3">
      <w:start w:val="4"/>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5" w15:restartNumberingAfterBreak="0">
    <w:nsid w:val="2998606B"/>
    <w:multiLevelType w:val="hybridMultilevel"/>
    <w:tmpl w:val="5024E6E8"/>
    <w:lvl w:ilvl="0" w:tplc="ADFE9BCA">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2BA05603"/>
    <w:multiLevelType w:val="hybridMultilevel"/>
    <w:tmpl w:val="E59AD556"/>
    <w:lvl w:ilvl="0" w:tplc="ADFE9BC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4F851DF"/>
    <w:multiLevelType w:val="multilevel"/>
    <w:tmpl w:val="4126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12B2C"/>
    <w:multiLevelType w:val="multilevel"/>
    <w:tmpl w:val="DB42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47ECC"/>
    <w:multiLevelType w:val="hybridMultilevel"/>
    <w:tmpl w:val="3CE22DA0"/>
    <w:lvl w:ilvl="0" w:tplc="080C0001">
      <w:start w:val="1"/>
      <w:numFmt w:val="bullet"/>
      <w:lvlText w:val=""/>
      <w:lvlJc w:val="left"/>
      <w:pPr>
        <w:ind w:left="2421" w:hanging="360"/>
      </w:pPr>
      <w:rPr>
        <w:rFonts w:ascii="Symbol" w:hAnsi="Symbol"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20" w15:restartNumberingAfterBreak="0">
    <w:nsid w:val="38640AD1"/>
    <w:multiLevelType w:val="hybridMultilevel"/>
    <w:tmpl w:val="6EE015C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D6C22F0"/>
    <w:multiLevelType w:val="multilevel"/>
    <w:tmpl w:val="7EDAFFBE"/>
    <w:lvl w:ilvl="0">
      <w:start w:val="4"/>
      <w:numFmt w:val="decimal"/>
      <w:lvlText w:val="%1"/>
      <w:lvlJc w:val="left"/>
      <w:pPr>
        <w:ind w:left="765" w:hanging="765"/>
      </w:pPr>
      <w:rPr>
        <w:rFonts w:hint="default"/>
      </w:rPr>
    </w:lvl>
    <w:lvl w:ilvl="1">
      <w:start w:val="2"/>
      <w:numFmt w:val="decimal"/>
      <w:lvlText w:val="%1.%2"/>
      <w:lvlJc w:val="left"/>
      <w:pPr>
        <w:ind w:left="1332" w:hanging="765"/>
      </w:pPr>
      <w:rPr>
        <w:rFonts w:hint="default"/>
      </w:rPr>
    </w:lvl>
    <w:lvl w:ilvl="2">
      <w:start w:val="8"/>
      <w:numFmt w:val="decimal"/>
      <w:lvlText w:val="%1.%2.%3"/>
      <w:lvlJc w:val="left"/>
      <w:pPr>
        <w:ind w:left="1899" w:hanging="765"/>
      </w:pPr>
      <w:rPr>
        <w:rFonts w:hint="default"/>
      </w:rPr>
    </w:lvl>
    <w:lvl w:ilvl="3">
      <w:start w:val="4"/>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2" w15:restartNumberingAfterBreak="0">
    <w:nsid w:val="3DD66C6A"/>
    <w:multiLevelType w:val="hybridMultilevel"/>
    <w:tmpl w:val="BD9E0E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EB30992"/>
    <w:multiLevelType w:val="hybridMultilevel"/>
    <w:tmpl w:val="A7EE0556"/>
    <w:lvl w:ilvl="0" w:tplc="D236F7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0FA7C8F"/>
    <w:multiLevelType w:val="hybridMultilevel"/>
    <w:tmpl w:val="8B46A5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BBD2B90"/>
    <w:multiLevelType w:val="hybridMultilevel"/>
    <w:tmpl w:val="F202E812"/>
    <w:lvl w:ilvl="0" w:tplc="D236F7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DE02590"/>
    <w:multiLevelType w:val="hybridMultilevel"/>
    <w:tmpl w:val="629A038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6B56DC1"/>
    <w:multiLevelType w:val="multilevel"/>
    <w:tmpl w:val="A058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7103B"/>
    <w:multiLevelType w:val="hybridMultilevel"/>
    <w:tmpl w:val="BD701614"/>
    <w:lvl w:ilvl="0" w:tplc="080C0001">
      <w:start w:val="1"/>
      <w:numFmt w:val="bullet"/>
      <w:lvlText w:val=""/>
      <w:lvlJc w:val="left"/>
      <w:pPr>
        <w:ind w:left="1512" w:hanging="360"/>
      </w:pPr>
      <w:rPr>
        <w:rFonts w:ascii="Symbol" w:hAnsi="Symbol" w:hint="default"/>
      </w:rPr>
    </w:lvl>
    <w:lvl w:ilvl="1" w:tplc="080C0003" w:tentative="1">
      <w:start w:val="1"/>
      <w:numFmt w:val="bullet"/>
      <w:lvlText w:val="o"/>
      <w:lvlJc w:val="left"/>
      <w:pPr>
        <w:ind w:left="2232" w:hanging="360"/>
      </w:pPr>
      <w:rPr>
        <w:rFonts w:ascii="Courier New" w:hAnsi="Courier New" w:cs="Courier New" w:hint="default"/>
      </w:rPr>
    </w:lvl>
    <w:lvl w:ilvl="2" w:tplc="080C0005" w:tentative="1">
      <w:start w:val="1"/>
      <w:numFmt w:val="bullet"/>
      <w:lvlText w:val=""/>
      <w:lvlJc w:val="left"/>
      <w:pPr>
        <w:ind w:left="2952" w:hanging="360"/>
      </w:pPr>
      <w:rPr>
        <w:rFonts w:ascii="Wingdings" w:hAnsi="Wingdings" w:hint="default"/>
      </w:rPr>
    </w:lvl>
    <w:lvl w:ilvl="3" w:tplc="080C0001" w:tentative="1">
      <w:start w:val="1"/>
      <w:numFmt w:val="bullet"/>
      <w:lvlText w:val=""/>
      <w:lvlJc w:val="left"/>
      <w:pPr>
        <w:ind w:left="3672" w:hanging="360"/>
      </w:pPr>
      <w:rPr>
        <w:rFonts w:ascii="Symbol" w:hAnsi="Symbol" w:hint="default"/>
      </w:rPr>
    </w:lvl>
    <w:lvl w:ilvl="4" w:tplc="080C0003" w:tentative="1">
      <w:start w:val="1"/>
      <w:numFmt w:val="bullet"/>
      <w:lvlText w:val="o"/>
      <w:lvlJc w:val="left"/>
      <w:pPr>
        <w:ind w:left="4392" w:hanging="360"/>
      </w:pPr>
      <w:rPr>
        <w:rFonts w:ascii="Courier New" w:hAnsi="Courier New" w:cs="Courier New" w:hint="default"/>
      </w:rPr>
    </w:lvl>
    <w:lvl w:ilvl="5" w:tplc="080C0005" w:tentative="1">
      <w:start w:val="1"/>
      <w:numFmt w:val="bullet"/>
      <w:lvlText w:val=""/>
      <w:lvlJc w:val="left"/>
      <w:pPr>
        <w:ind w:left="5112" w:hanging="360"/>
      </w:pPr>
      <w:rPr>
        <w:rFonts w:ascii="Wingdings" w:hAnsi="Wingdings" w:hint="default"/>
      </w:rPr>
    </w:lvl>
    <w:lvl w:ilvl="6" w:tplc="080C0001" w:tentative="1">
      <w:start w:val="1"/>
      <w:numFmt w:val="bullet"/>
      <w:lvlText w:val=""/>
      <w:lvlJc w:val="left"/>
      <w:pPr>
        <w:ind w:left="5832" w:hanging="360"/>
      </w:pPr>
      <w:rPr>
        <w:rFonts w:ascii="Symbol" w:hAnsi="Symbol" w:hint="default"/>
      </w:rPr>
    </w:lvl>
    <w:lvl w:ilvl="7" w:tplc="080C0003" w:tentative="1">
      <w:start w:val="1"/>
      <w:numFmt w:val="bullet"/>
      <w:lvlText w:val="o"/>
      <w:lvlJc w:val="left"/>
      <w:pPr>
        <w:ind w:left="6552" w:hanging="360"/>
      </w:pPr>
      <w:rPr>
        <w:rFonts w:ascii="Courier New" w:hAnsi="Courier New" w:cs="Courier New" w:hint="default"/>
      </w:rPr>
    </w:lvl>
    <w:lvl w:ilvl="8" w:tplc="080C0005" w:tentative="1">
      <w:start w:val="1"/>
      <w:numFmt w:val="bullet"/>
      <w:lvlText w:val=""/>
      <w:lvlJc w:val="left"/>
      <w:pPr>
        <w:ind w:left="7272" w:hanging="360"/>
      </w:pPr>
      <w:rPr>
        <w:rFonts w:ascii="Wingdings" w:hAnsi="Wingdings" w:hint="default"/>
      </w:rPr>
    </w:lvl>
  </w:abstractNum>
  <w:abstractNum w:abstractNumId="29" w15:restartNumberingAfterBreak="0">
    <w:nsid w:val="72DD6B21"/>
    <w:multiLevelType w:val="hybridMultilevel"/>
    <w:tmpl w:val="3BBC05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56C0B1A"/>
    <w:multiLevelType w:val="hybridMultilevel"/>
    <w:tmpl w:val="0A5E2974"/>
    <w:lvl w:ilvl="0" w:tplc="ADFE9BCA">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791C67C4"/>
    <w:multiLevelType w:val="multilevel"/>
    <w:tmpl w:val="2D38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4E7CA4"/>
    <w:multiLevelType w:val="multilevel"/>
    <w:tmpl w:val="1108DA2E"/>
    <w:lvl w:ilvl="0">
      <w:start w:val="1"/>
      <w:numFmt w:val="decimal"/>
      <w:pStyle w:val="AIEG1"/>
      <w:lvlText w:val="%1"/>
      <w:lvlJc w:val="left"/>
      <w:pPr>
        <w:ind w:left="555" w:hanging="555"/>
      </w:pPr>
      <w:rPr>
        <w:rFonts w:hint="default"/>
        <w:b/>
        <w:bCs/>
        <w:sz w:val="36"/>
        <w:szCs w:val="36"/>
      </w:rPr>
    </w:lvl>
    <w:lvl w:ilvl="1">
      <w:start w:val="1"/>
      <w:numFmt w:val="decimal"/>
      <w:pStyle w:val="AIEG2"/>
      <w:lvlText w:val="%1.%2"/>
      <w:lvlJc w:val="left"/>
      <w:pPr>
        <w:ind w:left="1428" w:hanging="720"/>
      </w:pPr>
      <w:rPr>
        <w:rFonts w:hint="default"/>
        <w:b w:val="0"/>
        <w:bCs w:val="0"/>
        <w:sz w:val="24"/>
        <w:szCs w:val="24"/>
      </w:rPr>
    </w:lvl>
    <w:lvl w:ilvl="2">
      <w:start w:val="1"/>
      <w:numFmt w:val="decimal"/>
      <w:pStyle w:val="AIEG3"/>
      <w:lvlText w:val="%1.%2.%3"/>
      <w:lvlJc w:val="left"/>
      <w:pPr>
        <w:ind w:left="2496" w:hanging="1080"/>
      </w:pPr>
      <w:rPr>
        <w:rFonts w:hint="default"/>
        <w:b w:val="0"/>
        <w:bCs/>
        <w:sz w:val="24"/>
        <w:szCs w:val="24"/>
      </w:rPr>
    </w:lvl>
    <w:lvl w:ilvl="3">
      <w:start w:val="1"/>
      <w:numFmt w:val="decimal"/>
      <w:pStyle w:val="aieg4"/>
      <w:lvlText w:val="%1.%2.%3.%4"/>
      <w:lvlJc w:val="left"/>
      <w:pPr>
        <w:ind w:left="3564" w:hanging="1440"/>
      </w:pPr>
      <w:rPr>
        <w:rFonts w:hint="default"/>
        <w:b/>
        <w:bCs/>
      </w:rPr>
    </w:lvl>
    <w:lvl w:ilvl="4">
      <w:start w:val="1"/>
      <w:numFmt w:val="decimal"/>
      <w:lvlText w:val="%1.%2.%3.%4.%5"/>
      <w:lvlJc w:val="left"/>
      <w:pPr>
        <w:ind w:left="4632" w:hanging="1800"/>
      </w:pPr>
      <w:rPr>
        <w:rFonts w:hint="default"/>
      </w:rPr>
    </w:lvl>
    <w:lvl w:ilvl="5">
      <w:start w:val="1"/>
      <w:numFmt w:val="decimal"/>
      <w:lvlText w:val="%1.%2.%3.%4.%5.%6"/>
      <w:lvlJc w:val="left"/>
      <w:pPr>
        <w:ind w:left="5700" w:hanging="2160"/>
      </w:pPr>
      <w:rPr>
        <w:rFonts w:hint="default"/>
      </w:rPr>
    </w:lvl>
    <w:lvl w:ilvl="6">
      <w:start w:val="1"/>
      <w:numFmt w:val="decimal"/>
      <w:lvlText w:val="%1.%2.%3.%4.%5.%6.%7"/>
      <w:lvlJc w:val="left"/>
      <w:pPr>
        <w:ind w:left="6768" w:hanging="2520"/>
      </w:pPr>
      <w:rPr>
        <w:rFonts w:hint="default"/>
      </w:rPr>
    </w:lvl>
    <w:lvl w:ilvl="7">
      <w:start w:val="1"/>
      <w:numFmt w:val="decimal"/>
      <w:lvlText w:val="%1.%2.%3.%4.%5.%6.%7.%8"/>
      <w:lvlJc w:val="left"/>
      <w:pPr>
        <w:ind w:left="7836" w:hanging="2880"/>
      </w:pPr>
      <w:rPr>
        <w:rFonts w:hint="default"/>
      </w:rPr>
    </w:lvl>
    <w:lvl w:ilvl="8">
      <w:start w:val="1"/>
      <w:numFmt w:val="decimal"/>
      <w:lvlText w:val="%1.%2.%3.%4.%5.%6.%7.%8.%9"/>
      <w:lvlJc w:val="left"/>
      <w:pPr>
        <w:ind w:left="8544" w:hanging="2880"/>
      </w:pPr>
      <w:rPr>
        <w:rFonts w:hint="default"/>
      </w:rPr>
    </w:lvl>
  </w:abstractNum>
  <w:num w:numId="1" w16cid:durableId="1047099563">
    <w:abstractNumId w:val="32"/>
  </w:num>
  <w:num w:numId="2" w16cid:durableId="162161507">
    <w:abstractNumId w:val="4"/>
  </w:num>
  <w:num w:numId="3" w16cid:durableId="1411734587">
    <w:abstractNumId w:val="1"/>
  </w:num>
  <w:num w:numId="4" w16cid:durableId="395009181">
    <w:abstractNumId w:val="25"/>
  </w:num>
  <w:num w:numId="5" w16cid:durableId="552430709">
    <w:abstractNumId w:val="23"/>
  </w:num>
  <w:num w:numId="6" w16cid:durableId="188952676">
    <w:abstractNumId w:val="5"/>
  </w:num>
  <w:num w:numId="7" w16cid:durableId="920485453">
    <w:abstractNumId w:val="15"/>
  </w:num>
  <w:num w:numId="8" w16cid:durableId="1314868382">
    <w:abstractNumId w:val="30"/>
  </w:num>
  <w:num w:numId="9" w16cid:durableId="856429976">
    <w:abstractNumId w:val="16"/>
  </w:num>
  <w:num w:numId="10" w16cid:durableId="1530482717">
    <w:abstractNumId w:val="29"/>
  </w:num>
  <w:num w:numId="11" w16cid:durableId="944845328">
    <w:abstractNumId w:val="19"/>
  </w:num>
  <w:num w:numId="12" w16cid:durableId="1466502789">
    <w:abstractNumId w:val="0"/>
  </w:num>
  <w:num w:numId="13" w16cid:durableId="1101416332">
    <w:abstractNumId w:val="14"/>
  </w:num>
  <w:num w:numId="14" w16cid:durableId="741102183">
    <w:abstractNumId w:val="10"/>
  </w:num>
  <w:num w:numId="15" w16cid:durableId="8265974">
    <w:abstractNumId w:val="28"/>
  </w:num>
  <w:num w:numId="16" w16cid:durableId="1268152731">
    <w:abstractNumId w:val="26"/>
  </w:num>
  <w:num w:numId="17" w16cid:durableId="1767506049">
    <w:abstractNumId w:val="6"/>
  </w:num>
  <w:num w:numId="18" w16cid:durableId="1318073141">
    <w:abstractNumId w:val="24"/>
  </w:num>
  <w:num w:numId="19" w16cid:durableId="1693871286">
    <w:abstractNumId w:val="22"/>
  </w:num>
  <w:num w:numId="20" w16cid:durableId="438531790">
    <w:abstractNumId w:val="11"/>
  </w:num>
  <w:num w:numId="21" w16cid:durableId="1546798549">
    <w:abstractNumId w:val="20"/>
  </w:num>
  <w:num w:numId="22" w16cid:durableId="1743985933">
    <w:abstractNumId w:val="1"/>
  </w:num>
  <w:num w:numId="23" w16cid:durableId="1794136738">
    <w:abstractNumId w:val="1"/>
  </w:num>
  <w:num w:numId="24" w16cid:durableId="128062311">
    <w:abstractNumId w:val="2"/>
  </w:num>
  <w:num w:numId="25" w16cid:durableId="2125416496">
    <w:abstractNumId w:val="1"/>
  </w:num>
  <w:num w:numId="26" w16cid:durableId="941106727">
    <w:abstractNumId w:val="1"/>
  </w:num>
  <w:num w:numId="27" w16cid:durableId="1785424674">
    <w:abstractNumId w:val="21"/>
  </w:num>
  <w:num w:numId="28" w16cid:durableId="2119181621">
    <w:abstractNumId w:val="8"/>
  </w:num>
  <w:num w:numId="29" w16cid:durableId="1649675594">
    <w:abstractNumId w:val="12"/>
  </w:num>
  <w:num w:numId="30" w16cid:durableId="495070061">
    <w:abstractNumId w:val="31"/>
  </w:num>
  <w:num w:numId="31" w16cid:durableId="1892040186">
    <w:abstractNumId w:val="13"/>
  </w:num>
  <w:num w:numId="32" w16cid:durableId="15876181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6139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8802691">
    <w:abstractNumId w:val="3"/>
  </w:num>
  <w:num w:numId="35" w16cid:durableId="864946974">
    <w:abstractNumId w:val="27"/>
  </w:num>
  <w:num w:numId="36" w16cid:durableId="1883054746">
    <w:abstractNumId w:val="7"/>
  </w:num>
  <w:num w:numId="37" w16cid:durableId="1599869943">
    <w:abstractNumId w:val="17"/>
  </w:num>
  <w:num w:numId="38" w16cid:durableId="774399265">
    <w:abstractNumId w:val="9"/>
  </w:num>
  <w:num w:numId="39" w16cid:durableId="1610428594">
    <w:abstractNumId w:val="32"/>
  </w:num>
  <w:num w:numId="40" w16cid:durableId="20636696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42"/>
    <w:rsid w:val="000000B5"/>
    <w:rsid w:val="00010DF9"/>
    <w:rsid w:val="000128B3"/>
    <w:rsid w:val="00013817"/>
    <w:rsid w:val="00014989"/>
    <w:rsid w:val="00015F50"/>
    <w:rsid w:val="00020887"/>
    <w:rsid w:val="000215B2"/>
    <w:rsid w:val="000227DC"/>
    <w:rsid w:val="00024D27"/>
    <w:rsid w:val="0002510F"/>
    <w:rsid w:val="000266E5"/>
    <w:rsid w:val="000306F2"/>
    <w:rsid w:val="00031001"/>
    <w:rsid w:val="00034C75"/>
    <w:rsid w:val="000417E1"/>
    <w:rsid w:val="000514CB"/>
    <w:rsid w:val="00054FB6"/>
    <w:rsid w:val="00056048"/>
    <w:rsid w:val="00061E28"/>
    <w:rsid w:val="000644E5"/>
    <w:rsid w:val="00073374"/>
    <w:rsid w:val="00075110"/>
    <w:rsid w:val="00076459"/>
    <w:rsid w:val="00080139"/>
    <w:rsid w:val="00080177"/>
    <w:rsid w:val="00080D83"/>
    <w:rsid w:val="00082A5A"/>
    <w:rsid w:val="000A063A"/>
    <w:rsid w:val="000A0FA0"/>
    <w:rsid w:val="000A36C5"/>
    <w:rsid w:val="000B01EA"/>
    <w:rsid w:val="000B3D6D"/>
    <w:rsid w:val="000B7B5E"/>
    <w:rsid w:val="000C1B24"/>
    <w:rsid w:val="000C49D0"/>
    <w:rsid w:val="000C4F1F"/>
    <w:rsid w:val="000D0B1F"/>
    <w:rsid w:val="000D6A61"/>
    <w:rsid w:val="000D6E56"/>
    <w:rsid w:val="000E2EF3"/>
    <w:rsid w:val="000F1792"/>
    <w:rsid w:val="000F2922"/>
    <w:rsid w:val="000F46AF"/>
    <w:rsid w:val="0010289C"/>
    <w:rsid w:val="00105C88"/>
    <w:rsid w:val="001072AA"/>
    <w:rsid w:val="00107DF8"/>
    <w:rsid w:val="00112531"/>
    <w:rsid w:val="0012075E"/>
    <w:rsid w:val="00122BFC"/>
    <w:rsid w:val="00124704"/>
    <w:rsid w:val="00124A4E"/>
    <w:rsid w:val="00124D0E"/>
    <w:rsid w:val="001251F0"/>
    <w:rsid w:val="00132154"/>
    <w:rsid w:val="00133ADF"/>
    <w:rsid w:val="00137F8A"/>
    <w:rsid w:val="00140003"/>
    <w:rsid w:val="00141CF3"/>
    <w:rsid w:val="00141D81"/>
    <w:rsid w:val="00151742"/>
    <w:rsid w:val="001559B3"/>
    <w:rsid w:val="00156626"/>
    <w:rsid w:val="001578DE"/>
    <w:rsid w:val="001579FC"/>
    <w:rsid w:val="00160BEA"/>
    <w:rsid w:val="0016195F"/>
    <w:rsid w:val="00164405"/>
    <w:rsid w:val="00165099"/>
    <w:rsid w:val="00165BF5"/>
    <w:rsid w:val="00166A06"/>
    <w:rsid w:val="00170F93"/>
    <w:rsid w:val="00172059"/>
    <w:rsid w:val="00174715"/>
    <w:rsid w:val="001751E3"/>
    <w:rsid w:val="001763AC"/>
    <w:rsid w:val="00177B44"/>
    <w:rsid w:val="001817C7"/>
    <w:rsid w:val="00183655"/>
    <w:rsid w:val="001911A8"/>
    <w:rsid w:val="001946F1"/>
    <w:rsid w:val="001A2CD9"/>
    <w:rsid w:val="001A34DA"/>
    <w:rsid w:val="001A7502"/>
    <w:rsid w:val="001A7C01"/>
    <w:rsid w:val="001B2FAC"/>
    <w:rsid w:val="001B49A6"/>
    <w:rsid w:val="001B6363"/>
    <w:rsid w:val="001C2B57"/>
    <w:rsid w:val="001C6896"/>
    <w:rsid w:val="001D5694"/>
    <w:rsid w:val="001D699E"/>
    <w:rsid w:val="001E10FD"/>
    <w:rsid w:val="001E3D3B"/>
    <w:rsid w:val="001E645F"/>
    <w:rsid w:val="001F293C"/>
    <w:rsid w:val="001F2FD2"/>
    <w:rsid w:val="00203418"/>
    <w:rsid w:val="002047E5"/>
    <w:rsid w:val="0021355A"/>
    <w:rsid w:val="00221C93"/>
    <w:rsid w:val="00221EEC"/>
    <w:rsid w:val="00224ACB"/>
    <w:rsid w:val="00230F35"/>
    <w:rsid w:val="002379FD"/>
    <w:rsid w:val="00241156"/>
    <w:rsid w:val="002462EA"/>
    <w:rsid w:val="00251252"/>
    <w:rsid w:val="00252CF4"/>
    <w:rsid w:val="00253A9B"/>
    <w:rsid w:val="00256E37"/>
    <w:rsid w:val="002573C7"/>
    <w:rsid w:val="002604A2"/>
    <w:rsid w:val="0026730F"/>
    <w:rsid w:val="002766F5"/>
    <w:rsid w:val="00277319"/>
    <w:rsid w:val="00281C09"/>
    <w:rsid w:val="0028299E"/>
    <w:rsid w:val="00284535"/>
    <w:rsid w:val="0028537D"/>
    <w:rsid w:val="002873E9"/>
    <w:rsid w:val="002932CD"/>
    <w:rsid w:val="00294DCF"/>
    <w:rsid w:val="0029794D"/>
    <w:rsid w:val="002A1FEE"/>
    <w:rsid w:val="002A5155"/>
    <w:rsid w:val="002B3A05"/>
    <w:rsid w:val="002B5B6F"/>
    <w:rsid w:val="002B78F1"/>
    <w:rsid w:val="002B7CFC"/>
    <w:rsid w:val="002C2B55"/>
    <w:rsid w:val="002C2BCF"/>
    <w:rsid w:val="002D079E"/>
    <w:rsid w:val="002D3300"/>
    <w:rsid w:val="002D6C63"/>
    <w:rsid w:val="002D7C30"/>
    <w:rsid w:val="002E32F1"/>
    <w:rsid w:val="002E49C5"/>
    <w:rsid w:val="002E5A30"/>
    <w:rsid w:val="002F1F39"/>
    <w:rsid w:val="002F33C8"/>
    <w:rsid w:val="002F3B78"/>
    <w:rsid w:val="002F4241"/>
    <w:rsid w:val="002F7398"/>
    <w:rsid w:val="003007A4"/>
    <w:rsid w:val="003045B2"/>
    <w:rsid w:val="003075EE"/>
    <w:rsid w:val="00307827"/>
    <w:rsid w:val="00311C71"/>
    <w:rsid w:val="00316661"/>
    <w:rsid w:val="00316BC9"/>
    <w:rsid w:val="00316E18"/>
    <w:rsid w:val="00316ED6"/>
    <w:rsid w:val="00317456"/>
    <w:rsid w:val="003178BD"/>
    <w:rsid w:val="00317A50"/>
    <w:rsid w:val="003214DB"/>
    <w:rsid w:val="00321CDF"/>
    <w:rsid w:val="00322CEA"/>
    <w:rsid w:val="0032342F"/>
    <w:rsid w:val="00323438"/>
    <w:rsid w:val="0032559C"/>
    <w:rsid w:val="00325BA0"/>
    <w:rsid w:val="003264AD"/>
    <w:rsid w:val="00327453"/>
    <w:rsid w:val="0033001B"/>
    <w:rsid w:val="003351C1"/>
    <w:rsid w:val="0033550F"/>
    <w:rsid w:val="00335674"/>
    <w:rsid w:val="0033584A"/>
    <w:rsid w:val="00342BF9"/>
    <w:rsid w:val="003432F9"/>
    <w:rsid w:val="003561C3"/>
    <w:rsid w:val="003609A7"/>
    <w:rsid w:val="00364F00"/>
    <w:rsid w:val="003655D2"/>
    <w:rsid w:val="00370067"/>
    <w:rsid w:val="0037027C"/>
    <w:rsid w:val="00371937"/>
    <w:rsid w:val="00372D2E"/>
    <w:rsid w:val="00373B9F"/>
    <w:rsid w:val="00380973"/>
    <w:rsid w:val="00380A65"/>
    <w:rsid w:val="00382ED5"/>
    <w:rsid w:val="00382EEA"/>
    <w:rsid w:val="00386BDB"/>
    <w:rsid w:val="00393541"/>
    <w:rsid w:val="00396A23"/>
    <w:rsid w:val="00397C3B"/>
    <w:rsid w:val="003A069B"/>
    <w:rsid w:val="003A3C88"/>
    <w:rsid w:val="003A4DF9"/>
    <w:rsid w:val="003A5C52"/>
    <w:rsid w:val="003A63FE"/>
    <w:rsid w:val="003A6430"/>
    <w:rsid w:val="003B09E9"/>
    <w:rsid w:val="003B5F6A"/>
    <w:rsid w:val="003B75CE"/>
    <w:rsid w:val="003C13E8"/>
    <w:rsid w:val="003C34DE"/>
    <w:rsid w:val="003C7556"/>
    <w:rsid w:val="003D0154"/>
    <w:rsid w:val="003D1B13"/>
    <w:rsid w:val="003D4694"/>
    <w:rsid w:val="003E15CC"/>
    <w:rsid w:val="003E1B90"/>
    <w:rsid w:val="003E2979"/>
    <w:rsid w:val="003E6874"/>
    <w:rsid w:val="003F0EA4"/>
    <w:rsid w:val="003F5EAB"/>
    <w:rsid w:val="003F6309"/>
    <w:rsid w:val="003F6E9A"/>
    <w:rsid w:val="004003CB"/>
    <w:rsid w:val="00400BD0"/>
    <w:rsid w:val="00400E4C"/>
    <w:rsid w:val="00402BBF"/>
    <w:rsid w:val="004071D0"/>
    <w:rsid w:val="004076E6"/>
    <w:rsid w:val="00416F93"/>
    <w:rsid w:val="004272E4"/>
    <w:rsid w:val="00434E28"/>
    <w:rsid w:val="0043579A"/>
    <w:rsid w:val="00437DC7"/>
    <w:rsid w:val="00444580"/>
    <w:rsid w:val="004449E8"/>
    <w:rsid w:val="00454618"/>
    <w:rsid w:val="00454A8B"/>
    <w:rsid w:val="0046041C"/>
    <w:rsid w:val="004633AC"/>
    <w:rsid w:val="00471F7F"/>
    <w:rsid w:val="00476187"/>
    <w:rsid w:val="00476720"/>
    <w:rsid w:val="0047733A"/>
    <w:rsid w:val="004773DE"/>
    <w:rsid w:val="0048192F"/>
    <w:rsid w:val="00481E15"/>
    <w:rsid w:val="00482468"/>
    <w:rsid w:val="00482480"/>
    <w:rsid w:val="00484BA1"/>
    <w:rsid w:val="004858A6"/>
    <w:rsid w:val="00490304"/>
    <w:rsid w:val="00497A6A"/>
    <w:rsid w:val="004A3153"/>
    <w:rsid w:val="004A3EDD"/>
    <w:rsid w:val="004A4113"/>
    <w:rsid w:val="004A7BC7"/>
    <w:rsid w:val="004B0B77"/>
    <w:rsid w:val="004B0F04"/>
    <w:rsid w:val="004B20E4"/>
    <w:rsid w:val="004C69AC"/>
    <w:rsid w:val="004C7303"/>
    <w:rsid w:val="004C74D0"/>
    <w:rsid w:val="004D16AD"/>
    <w:rsid w:val="004D47B3"/>
    <w:rsid w:val="004E0EFE"/>
    <w:rsid w:val="004E6B30"/>
    <w:rsid w:val="004E76C8"/>
    <w:rsid w:val="004E7FBB"/>
    <w:rsid w:val="004F082C"/>
    <w:rsid w:val="004F0E25"/>
    <w:rsid w:val="004F2711"/>
    <w:rsid w:val="004F2883"/>
    <w:rsid w:val="004F47BC"/>
    <w:rsid w:val="004F565E"/>
    <w:rsid w:val="00507B06"/>
    <w:rsid w:val="00512981"/>
    <w:rsid w:val="00517C4F"/>
    <w:rsid w:val="0052275E"/>
    <w:rsid w:val="00524E6C"/>
    <w:rsid w:val="00531665"/>
    <w:rsid w:val="00531ECA"/>
    <w:rsid w:val="00533346"/>
    <w:rsid w:val="00534264"/>
    <w:rsid w:val="00540E1B"/>
    <w:rsid w:val="005429D4"/>
    <w:rsid w:val="005441E6"/>
    <w:rsid w:val="00544812"/>
    <w:rsid w:val="005467F4"/>
    <w:rsid w:val="005476C0"/>
    <w:rsid w:val="0055077B"/>
    <w:rsid w:val="005515F9"/>
    <w:rsid w:val="00557D87"/>
    <w:rsid w:val="00566678"/>
    <w:rsid w:val="00567545"/>
    <w:rsid w:val="005745AA"/>
    <w:rsid w:val="00577800"/>
    <w:rsid w:val="00580955"/>
    <w:rsid w:val="00584436"/>
    <w:rsid w:val="00585C1F"/>
    <w:rsid w:val="00590093"/>
    <w:rsid w:val="00590F63"/>
    <w:rsid w:val="00591C52"/>
    <w:rsid w:val="00591DD5"/>
    <w:rsid w:val="0059283B"/>
    <w:rsid w:val="0059423C"/>
    <w:rsid w:val="00594490"/>
    <w:rsid w:val="00595533"/>
    <w:rsid w:val="00596933"/>
    <w:rsid w:val="005A3A78"/>
    <w:rsid w:val="005B1EB2"/>
    <w:rsid w:val="005B35E1"/>
    <w:rsid w:val="005B5139"/>
    <w:rsid w:val="005B601C"/>
    <w:rsid w:val="005C17AA"/>
    <w:rsid w:val="005C2544"/>
    <w:rsid w:val="005C35A5"/>
    <w:rsid w:val="005C6838"/>
    <w:rsid w:val="005D05BE"/>
    <w:rsid w:val="005E2FCD"/>
    <w:rsid w:val="005E54A3"/>
    <w:rsid w:val="005E638E"/>
    <w:rsid w:val="005F3E2E"/>
    <w:rsid w:val="005F69F5"/>
    <w:rsid w:val="006004E0"/>
    <w:rsid w:val="00600939"/>
    <w:rsid w:val="00600CFB"/>
    <w:rsid w:val="00605664"/>
    <w:rsid w:val="00613E2E"/>
    <w:rsid w:val="00622FAA"/>
    <w:rsid w:val="006249A8"/>
    <w:rsid w:val="00625CDB"/>
    <w:rsid w:val="00633DC3"/>
    <w:rsid w:val="006363BC"/>
    <w:rsid w:val="006376AB"/>
    <w:rsid w:val="00637818"/>
    <w:rsid w:val="00642572"/>
    <w:rsid w:val="006438A3"/>
    <w:rsid w:val="00644094"/>
    <w:rsid w:val="00655DDD"/>
    <w:rsid w:val="0065645F"/>
    <w:rsid w:val="006615A3"/>
    <w:rsid w:val="0066229E"/>
    <w:rsid w:val="00663151"/>
    <w:rsid w:val="006634AC"/>
    <w:rsid w:val="006715D9"/>
    <w:rsid w:val="006719E2"/>
    <w:rsid w:val="0067666E"/>
    <w:rsid w:val="006772C1"/>
    <w:rsid w:val="00683AA2"/>
    <w:rsid w:val="00686439"/>
    <w:rsid w:val="006930E7"/>
    <w:rsid w:val="00693D23"/>
    <w:rsid w:val="006950B2"/>
    <w:rsid w:val="00696BD3"/>
    <w:rsid w:val="006A253F"/>
    <w:rsid w:val="006A6A1F"/>
    <w:rsid w:val="006B0BE2"/>
    <w:rsid w:val="006B204B"/>
    <w:rsid w:val="006B23EE"/>
    <w:rsid w:val="006B2B09"/>
    <w:rsid w:val="006B41F9"/>
    <w:rsid w:val="006B45C1"/>
    <w:rsid w:val="006C02C0"/>
    <w:rsid w:val="006C25F4"/>
    <w:rsid w:val="006C33B2"/>
    <w:rsid w:val="006C5A57"/>
    <w:rsid w:val="006C5ED1"/>
    <w:rsid w:val="006D0FC8"/>
    <w:rsid w:val="006D2152"/>
    <w:rsid w:val="006D3C0B"/>
    <w:rsid w:val="006D456E"/>
    <w:rsid w:val="006D4D30"/>
    <w:rsid w:val="006D7B6B"/>
    <w:rsid w:val="006E0DC8"/>
    <w:rsid w:val="006E7C2B"/>
    <w:rsid w:val="006F10E2"/>
    <w:rsid w:val="006F36AC"/>
    <w:rsid w:val="006F3DAC"/>
    <w:rsid w:val="006F4844"/>
    <w:rsid w:val="006F48CB"/>
    <w:rsid w:val="006F533A"/>
    <w:rsid w:val="00702988"/>
    <w:rsid w:val="00702AD2"/>
    <w:rsid w:val="00706E77"/>
    <w:rsid w:val="007110EF"/>
    <w:rsid w:val="00711B55"/>
    <w:rsid w:val="0071509B"/>
    <w:rsid w:val="0071625C"/>
    <w:rsid w:val="00716743"/>
    <w:rsid w:val="007249A6"/>
    <w:rsid w:val="0072692D"/>
    <w:rsid w:val="00727C90"/>
    <w:rsid w:val="00730BE7"/>
    <w:rsid w:val="00733915"/>
    <w:rsid w:val="00735F74"/>
    <w:rsid w:val="00742C54"/>
    <w:rsid w:val="00753CF5"/>
    <w:rsid w:val="0075619D"/>
    <w:rsid w:val="00760416"/>
    <w:rsid w:val="00767748"/>
    <w:rsid w:val="007746DC"/>
    <w:rsid w:val="00774876"/>
    <w:rsid w:val="007749FC"/>
    <w:rsid w:val="00782588"/>
    <w:rsid w:val="00784C67"/>
    <w:rsid w:val="00787684"/>
    <w:rsid w:val="007916A9"/>
    <w:rsid w:val="00792B68"/>
    <w:rsid w:val="00792E62"/>
    <w:rsid w:val="00794BB0"/>
    <w:rsid w:val="00795BED"/>
    <w:rsid w:val="007A19CF"/>
    <w:rsid w:val="007A64C3"/>
    <w:rsid w:val="007A6A11"/>
    <w:rsid w:val="007B0EE9"/>
    <w:rsid w:val="007B7237"/>
    <w:rsid w:val="007C12BD"/>
    <w:rsid w:val="007D0E4A"/>
    <w:rsid w:val="007D374A"/>
    <w:rsid w:val="007D6AAD"/>
    <w:rsid w:val="007F076C"/>
    <w:rsid w:val="007F7602"/>
    <w:rsid w:val="007F7AC7"/>
    <w:rsid w:val="00800955"/>
    <w:rsid w:val="00801F30"/>
    <w:rsid w:val="00806B13"/>
    <w:rsid w:val="00810D48"/>
    <w:rsid w:val="0081224A"/>
    <w:rsid w:val="0081493F"/>
    <w:rsid w:val="00814989"/>
    <w:rsid w:val="00815EB7"/>
    <w:rsid w:val="008217B9"/>
    <w:rsid w:val="00824042"/>
    <w:rsid w:val="0082622C"/>
    <w:rsid w:val="0082622F"/>
    <w:rsid w:val="008264B2"/>
    <w:rsid w:val="0082683B"/>
    <w:rsid w:val="00830520"/>
    <w:rsid w:val="00834CBE"/>
    <w:rsid w:val="00836239"/>
    <w:rsid w:val="00836C89"/>
    <w:rsid w:val="00837DCC"/>
    <w:rsid w:val="00844674"/>
    <w:rsid w:val="00846A54"/>
    <w:rsid w:val="008512F9"/>
    <w:rsid w:val="008529F4"/>
    <w:rsid w:val="0086254A"/>
    <w:rsid w:val="00871655"/>
    <w:rsid w:val="008766A7"/>
    <w:rsid w:val="00876C3A"/>
    <w:rsid w:val="008851A6"/>
    <w:rsid w:val="00887C98"/>
    <w:rsid w:val="00892F10"/>
    <w:rsid w:val="00897118"/>
    <w:rsid w:val="00897235"/>
    <w:rsid w:val="00897554"/>
    <w:rsid w:val="008A1020"/>
    <w:rsid w:val="008A2698"/>
    <w:rsid w:val="008A2815"/>
    <w:rsid w:val="008A324D"/>
    <w:rsid w:val="008A54F2"/>
    <w:rsid w:val="008A5DD0"/>
    <w:rsid w:val="008B2197"/>
    <w:rsid w:val="008B6CFC"/>
    <w:rsid w:val="008C1928"/>
    <w:rsid w:val="008C1BC5"/>
    <w:rsid w:val="008C1DB6"/>
    <w:rsid w:val="008C7331"/>
    <w:rsid w:val="008C73CB"/>
    <w:rsid w:val="008D059E"/>
    <w:rsid w:val="008D2DBD"/>
    <w:rsid w:val="008D6809"/>
    <w:rsid w:val="008D7927"/>
    <w:rsid w:val="008E1F75"/>
    <w:rsid w:val="008E2974"/>
    <w:rsid w:val="008E7D69"/>
    <w:rsid w:val="008F6E54"/>
    <w:rsid w:val="00902523"/>
    <w:rsid w:val="00902BCF"/>
    <w:rsid w:val="00904D19"/>
    <w:rsid w:val="009139B5"/>
    <w:rsid w:val="0091477A"/>
    <w:rsid w:val="00920340"/>
    <w:rsid w:val="0092577D"/>
    <w:rsid w:val="00927BD4"/>
    <w:rsid w:val="00930543"/>
    <w:rsid w:val="00930C06"/>
    <w:rsid w:val="00936E65"/>
    <w:rsid w:val="00941965"/>
    <w:rsid w:val="00942E5F"/>
    <w:rsid w:val="00947AC9"/>
    <w:rsid w:val="00950476"/>
    <w:rsid w:val="0095089C"/>
    <w:rsid w:val="009517F5"/>
    <w:rsid w:val="009534E0"/>
    <w:rsid w:val="009534F8"/>
    <w:rsid w:val="009537D6"/>
    <w:rsid w:val="00953DA9"/>
    <w:rsid w:val="00955B25"/>
    <w:rsid w:val="00955F03"/>
    <w:rsid w:val="0095654B"/>
    <w:rsid w:val="009565EB"/>
    <w:rsid w:val="009610A7"/>
    <w:rsid w:val="009622DB"/>
    <w:rsid w:val="009670A7"/>
    <w:rsid w:val="00967A8C"/>
    <w:rsid w:val="00967ED0"/>
    <w:rsid w:val="00967F3B"/>
    <w:rsid w:val="00970AF2"/>
    <w:rsid w:val="009743A8"/>
    <w:rsid w:val="00976A53"/>
    <w:rsid w:val="00981EE1"/>
    <w:rsid w:val="00986C90"/>
    <w:rsid w:val="00994005"/>
    <w:rsid w:val="009A13B5"/>
    <w:rsid w:val="009A2EB4"/>
    <w:rsid w:val="009A5606"/>
    <w:rsid w:val="009B21CB"/>
    <w:rsid w:val="009C0E95"/>
    <w:rsid w:val="009C136B"/>
    <w:rsid w:val="009C15C0"/>
    <w:rsid w:val="009C2114"/>
    <w:rsid w:val="009C6E5C"/>
    <w:rsid w:val="009D00AB"/>
    <w:rsid w:val="009D37F5"/>
    <w:rsid w:val="009D54F4"/>
    <w:rsid w:val="009D7143"/>
    <w:rsid w:val="009D7774"/>
    <w:rsid w:val="009D7FF3"/>
    <w:rsid w:val="009E0DF3"/>
    <w:rsid w:val="009E4219"/>
    <w:rsid w:val="009F204D"/>
    <w:rsid w:val="009F25BB"/>
    <w:rsid w:val="009F34FA"/>
    <w:rsid w:val="009F3812"/>
    <w:rsid w:val="009F3FAA"/>
    <w:rsid w:val="009F41F1"/>
    <w:rsid w:val="00A00018"/>
    <w:rsid w:val="00A00974"/>
    <w:rsid w:val="00A00A73"/>
    <w:rsid w:val="00A0454A"/>
    <w:rsid w:val="00A05B50"/>
    <w:rsid w:val="00A075C3"/>
    <w:rsid w:val="00A1033C"/>
    <w:rsid w:val="00A161EB"/>
    <w:rsid w:val="00A178A0"/>
    <w:rsid w:val="00A236F4"/>
    <w:rsid w:val="00A24A88"/>
    <w:rsid w:val="00A2722C"/>
    <w:rsid w:val="00A33148"/>
    <w:rsid w:val="00A332B6"/>
    <w:rsid w:val="00A366E6"/>
    <w:rsid w:val="00A4073A"/>
    <w:rsid w:val="00A4156B"/>
    <w:rsid w:val="00A41D74"/>
    <w:rsid w:val="00A4285A"/>
    <w:rsid w:val="00A46B98"/>
    <w:rsid w:val="00A5302C"/>
    <w:rsid w:val="00A545D6"/>
    <w:rsid w:val="00A55465"/>
    <w:rsid w:val="00A554D6"/>
    <w:rsid w:val="00A71751"/>
    <w:rsid w:val="00A72060"/>
    <w:rsid w:val="00A72292"/>
    <w:rsid w:val="00A745FB"/>
    <w:rsid w:val="00A81220"/>
    <w:rsid w:val="00A81993"/>
    <w:rsid w:val="00A82AC1"/>
    <w:rsid w:val="00A83375"/>
    <w:rsid w:val="00A95874"/>
    <w:rsid w:val="00A97E76"/>
    <w:rsid w:val="00AA1986"/>
    <w:rsid w:val="00AA231C"/>
    <w:rsid w:val="00AA4BB5"/>
    <w:rsid w:val="00AB42D3"/>
    <w:rsid w:val="00AB5382"/>
    <w:rsid w:val="00AB64C8"/>
    <w:rsid w:val="00AB7EBA"/>
    <w:rsid w:val="00AC30C5"/>
    <w:rsid w:val="00AC3D2E"/>
    <w:rsid w:val="00AC5D32"/>
    <w:rsid w:val="00AC6270"/>
    <w:rsid w:val="00AC777F"/>
    <w:rsid w:val="00AC7E4E"/>
    <w:rsid w:val="00AD0842"/>
    <w:rsid w:val="00AD4CF3"/>
    <w:rsid w:val="00AD57BC"/>
    <w:rsid w:val="00AD5DC0"/>
    <w:rsid w:val="00AD7DC7"/>
    <w:rsid w:val="00AE05B7"/>
    <w:rsid w:val="00AE218D"/>
    <w:rsid w:val="00AE3313"/>
    <w:rsid w:val="00AE3EE8"/>
    <w:rsid w:val="00AE572D"/>
    <w:rsid w:val="00AE5EE3"/>
    <w:rsid w:val="00AE5F20"/>
    <w:rsid w:val="00AE708D"/>
    <w:rsid w:val="00AE78EC"/>
    <w:rsid w:val="00AF25F9"/>
    <w:rsid w:val="00AF32E4"/>
    <w:rsid w:val="00AF36A4"/>
    <w:rsid w:val="00B014FF"/>
    <w:rsid w:val="00B01B37"/>
    <w:rsid w:val="00B07887"/>
    <w:rsid w:val="00B1209C"/>
    <w:rsid w:val="00B12707"/>
    <w:rsid w:val="00B149BF"/>
    <w:rsid w:val="00B16394"/>
    <w:rsid w:val="00B21B1F"/>
    <w:rsid w:val="00B244BB"/>
    <w:rsid w:val="00B255AD"/>
    <w:rsid w:val="00B25CE3"/>
    <w:rsid w:val="00B27D75"/>
    <w:rsid w:val="00B336FF"/>
    <w:rsid w:val="00B3430C"/>
    <w:rsid w:val="00B346C2"/>
    <w:rsid w:val="00B36B9D"/>
    <w:rsid w:val="00B40FE4"/>
    <w:rsid w:val="00B512F8"/>
    <w:rsid w:val="00B550B6"/>
    <w:rsid w:val="00B56778"/>
    <w:rsid w:val="00B60574"/>
    <w:rsid w:val="00B632B0"/>
    <w:rsid w:val="00B635BD"/>
    <w:rsid w:val="00B71115"/>
    <w:rsid w:val="00B73D2B"/>
    <w:rsid w:val="00B73DE7"/>
    <w:rsid w:val="00B74BA6"/>
    <w:rsid w:val="00B755C2"/>
    <w:rsid w:val="00B825A0"/>
    <w:rsid w:val="00B839F7"/>
    <w:rsid w:val="00B84BB2"/>
    <w:rsid w:val="00B86533"/>
    <w:rsid w:val="00B90280"/>
    <w:rsid w:val="00B922FC"/>
    <w:rsid w:val="00B93821"/>
    <w:rsid w:val="00BA21AD"/>
    <w:rsid w:val="00BA3EDB"/>
    <w:rsid w:val="00BA6A31"/>
    <w:rsid w:val="00BB3CEC"/>
    <w:rsid w:val="00BC2234"/>
    <w:rsid w:val="00BC293E"/>
    <w:rsid w:val="00BC2B5B"/>
    <w:rsid w:val="00BD45B9"/>
    <w:rsid w:val="00BD5EC8"/>
    <w:rsid w:val="00BE07FA"/>
    <w:rsid w:val="00BE1A7C"/>
    <w:rsid w:val="00BE1D07"/>
    <w:rsid w:val="00BE3C57"/>
    <w:rsid w:val="00BE462E"/>
    <w:rsid w:val="00BE5EDE"/>
    <w:rsid w:val="00BE7645"/>
    <w:rsid w:val="00BF02A8"/>
    <w:rsid w:val="00BF17A9"/>
    <w:rsid w:val="00BF20F8"/>
    <w:rsid w:val="00C01F0F"/>
    <w:rsid w:val="00C03153"/>
    <w:rsid w:val="00C03513"/>
    <w:rsid w:val="00C0620C"/>
    <w:rsid w:val="00C10F40"/>
    <w:rsid w:val="00C1237E"/>
    <w:rsid w:val="00C171DF"/>
    <w:rsid w:val="00C20AB1"/>
    <w:rsid w:val="00C220BF"/>
    <w:rsid w:val="00C22450"/>
    <w:rsid w:val="00C27C05"/>
    <w:rsid w:val="00C30659"/>
    <w:rsid w:val="00C31497"/>
    <w:rsid w:val="00C336F4"/>
    <w:rsid w:val="00C33D00"/>
    <w:rsid w:val="00C35C73"/>
    <w:rsid w:val="00C36099"/>
    <w:rsid w:val="00C40175"/>
    <w:rsid w:val="00C44218"/>
    <w:rsid w:val="00C44504"/>
    <w:rsid w:val="00C50620"/>
    <w:rsid w:val="00C55108"/>
    <w:rsid w:val="00C55D69"/>
    <w:rsid w:val="00C6045F"/>
    <w:rsid w:val="00C6189F"/>
    <w:rsid w:val="00C61D99"/>
    <w:rsid w:val="00C63F5A"/>
    <w:rsid w:val="00C70C8A"/>
    <w:rsid w:val="00C71009"/>
    <w:rsid w:val="00C7138F"/>
    <w:rsid w:val="00C739B1"/>
    <w:rsid w:val="00C74CF1"/>
    <w:rsid w:val="00C8565A"/>
    <w:rsid w:val="00C90F38"/>
    <w:rsid w:val="00C91C45"/>
    <w:rsid w:val="00C95C2F"/>
    <w:rsid w:val="00CA0AD0"/>
    <w:rsid w:val="00CB33C5"/>
    <w:rsid w:val="00CB6A24"/>
    <w:rsid w:val="00CB6DA4"/>
    <w:rsid w:val="00CB7A4A"/>
    <w:rsid w:val="00CC0E3A"/>
    <w:rsid w:val="00CC181C"/>
    <w:rsid w:val="00CC2458"/>
    <w:rsid w:val="00CC42B3"/>
    <w:rsid w:val="00CC59C1"/>
    <w:rsid w:val="00CC7DF9"/>
    <w:rsid w:val="00CD009F"/>
    <w:rsid w:val="00CD0E1A"/>
    <w:rsid w:val="00CD2143"/>
    <w:rsid w:val="00CD2811"/>
    <w:rsid w:val="00CD3BA7"/>
    <w:rsid w:val="00CD3C5F"/>
    <w:rsid w:val="00CD493A"/>
    <w:rsid w:val="00CD6DD7"/>
    <w:rsid w:val="00CD75AB"/>
    <w:rsid w:val="00CE103B"/>
    <w:rsid w:val="00CE1866"/>
    <w:rsid w:val="00CE19F2"/>
    <w:rsid w:val="00CE2092"/>
    <w:rsid w:val="00CE2FD7"/>
    <w:rsid w:val="00CE545B"/>
    <w:rsid w:val="00CF689C"/>
    <w:rsid w:val="00CF76ED"/>
    <w:rsid w:val="00CF7E09"/>
    <w:rsid w:val="00CF7F8A"/>
    <w:rsid w:val="00D008F6"/>
    <w:rsid w:val="00D07BCB"/>
    <w:rsid w:val="00D07FF4"/>
    <w:rsid w:val="00D1304C"/>
    <w:rsid w:val="00D178CB"/>
    <w:rsid w:val="00D22CC1"/>
    <w:rsid w:val="00D24B2F"/>
    <w:rsid w:val="00D279F5"/>
    <w:rsid w:val="00D35C42"/>
    <w:rsid w:val="00D408FB"/>
    <w:rsid w:val="00D503BC"/>
    <w:rsid w:val="00D50984"/>
    <w:rsid w:val="00D50F9F"/>
    <w:rsid w:val="00D61E9C"/>
    <w:rsid w:val="00D707F6"/>
    <w:rsid w:val="00D71817"/>
    <w:rsid w:val="00D75315"/>
    <w:rsid w:val="00D86CF0"/>
    <w:rsid w:val="00D87A8D"/>
    <w:rsid w:val="00D92C68"/>
    <w:rsid w:val="00D932A2"/>
    <w:rsid w:val="00D93617"/>
    <w:rsid w:val="00D96628"/>
    <w:rsid w:val="00DA2EAB"/>
    <w:rsid w:val="00DA301F"/>
    <w:rsid w:val="00DB0C81"/>
    <w:rsid w:val="00DB1809"/>
    <w:rsid w:val="00DB4B8F"/>
    <w:rsid w:val="00DB50EA"/>
    <w:rsid w:val="00DC0671"/>
    <w:rsid w:val="00DC090E"/>
    <w:rsid w:val="00DC148C"/>
    <w:rsid w:val="00DC634C"/>
    <w:rsid w:val="00DD169E"/>
    <w:rsid w:val="00DD3229"/>
    <w:rsid w:val="00DD554C"/>
    <w:rsid w:val="00DD6506"/>
    <w:rsid w:val="00DE2934"/>
    <w:rsid w:val="00DF1105"/>
    <w:rsid w:val="00DF4EE9"/>
    <w:rsid w:val="00E02135"/>
    <w:rsid w:val="00E02C0C"/>
    <w:rsid w:val="00E04F23"/>
    <w:rsid w:val="00E115DF"/>
    <w:rsid w:val="00E12ACE"/>
    <w:rsid w:val="00E13359"/>
    <w:rsid w:val="00E15CFA"/>
    <w:rsid w:val="00E2546D"/>
    <w:rsid w:val="00E320E9"/>
    <w:rsid w:val="00E34262"/>
    <w:rsid w:val="00E3545E"/>
    <w:rsid w:val="00E402C6"/>
    <w:rsid w:val="00E41647"/>
    <w:rsid w:val="00E5014B"/>
    <w:rsid w:val="00E52F0E"/>
    <w:rsid w:val="00E54CAE"/>
    <w:rsid w:val="00E554DD"/>
    <w:rsid w:val="00E56456"/>
    <w:rsid w:val="00E56CEC"/>
    <w:rsid w:val="00E618FD"/>
    <w:rsid w:val="00E61BF4"/>
    <w:rsid w:val="00E66AA1"/>
    <w:rsid w:val="00E7166A"/>
    <w:rsid w:val="00E71C33"/>
    <w:rsid w:val="00E74A8D"/>
    <w:rsid w:val="00E756AC"/>
    <w:rsid w:val="00E77865"/>
    <w:rsid w:val="00E810CC"/>
    <w:rsid w:val="00E83B7F"/>
    <w:rsid w:val="00E846AB"/>
    <w:rsid w:val="00E84A6B"/>
    <w:rsid w:val="00E858B8"/>
    <w:rsid w:val="00E8678D"/>
    <w:rsid w:val="00E868C4"/>
    <w:rsid w:val="00E878D1"/>
    <w:rsid w:val="00E93229"/>
    <w:rsid w:val="00EA465C"/>
    <w:rsid w:val="00EB1163"/>
    <w:rsid w:val="00EB3974"/>
    <w:rsid w:val="00EB5FEC"/>
    <w:rsid w:val="00EB6010"/>
    <w:rsid w:val="00EB64F3"/>
    <w:rsid w:val="00EC7024"/>
    <w:rsid w:val="00EC71A0"/>
    <w:rsid w:val="00ED08D5"/>
    <w:rsid w:val="00ED0E1A"/>
    <w:rsid w:val="00ED13E0"/>
    <w:rsid w:val="00ED24C1"/>
    <w:rsid w:val="00ED31DD"/>
    <w:rsid w:val="00ED47F6"/>
    <w:rsid w:val="00ED4B61"/>
    <w:rsid w:val="00ED64B6"/>
    <w:rsid w:val="00ED7D25"/>
    <w:rsid w:val="00EE3E5D"/>
    <w:rsid w:val="00EE513A"/>
    <w:rsid w:val="00EF1389"/>
    <w:rsid w:val="00EF2891"/>
    <w:rsid w:val="00EF7BBD"/>
    <w:rsid w:val="00F0186D"/>
    <w:rsid w:val="00F074E6"/>
    <w:rsid w:val="00F07A59"/>
    <w:rsid w:val="00F124C3"/>
    <w:rsid w:val="00F164C0"/>
    <w:rsid w:val="00F20E36"/>
    <w:rsid w:val="00F227FD"/>
    <w:rsid w:val="00F22904"/>
    <w:rsid w:val="00F231F2"/>
    <w:rsid w:val="00F240A6"/>
    <w:rsid w:val="00F25CEC"/>
    <w:rsid w:val="00F33215"/>
    <w:rsid w:val="00F340C1"/>
    <w:rsid w:val="00F4034C"/>
    <w:rsid w:val="00F415B9"/>
    <w:rsid w:val="00F421B1"/>
    <w:rsid w:val="00F45B9D"/>
    <w:rsid w:val="00F46262"/>
    <w:rsid w:val="00F468F4"/>
    <w:rsid w:val="00F55CD8"/>
    <w:rsid w:val="00F5697F"/>
    <w:rsid w:val="00F708E2"/>
    <w:rsid w:val="00F7309B"/>
    <w:rsid w:val="00F7444D"/>
    <w:rsid w:val="00F76389"/>
    <w:rsid w:val="00F80F73"/>
    <w:rsid w:val="00F82421"/>
    <w:rsid w:val="00F83FAB"/>
    <w:rsid w:val="00F8731A"/>
    <w:rsid w:val="00F90951"/>
    <w:rsid w:val="00F91B69"/>
    <w:rsid w:val="00F9260B"/>
    <w:rsid w:val="00F935F1"/>
    <w:rsid w:val="00F9603E"/>
    <w:rsid w:val="00FA55D4"/>
    <w:rsid w:val="00FA6056"/>
    <w:rsid w:val="00FA673F"/>
    <w:rsid w:val="00FA7BD6"/>
    <w:rsid w:val="00FB06E6"/>
    <w:rsid w:val="00FB0C31"/>
    <w:rsid w:val="00FB260F"/>
    <w:rsid w:val="00FB487E"/>
    <w:rsid w:val="00FC0D15"/>
    <w:rsid w:val="00FC1211"/>
    <w:rsid w:val="00FC3F60"/>
    <w:rsid w:val="00FC4CA9"/>
    <w:rsid w:val="00FC5681"/>
    <w:rsid w:val="00FC6390"/>
    <w:rsid w:val="00FC7A96"/>
    <w:rsid w:val="00FD21AE"/>
    <w:rsid w:val="00FD3570"/>
    <w:rsid w:val="00FD5FB3"/>
    <w:rsid w:val="00FD6141"/>
    <w:rsid w:val="00FD68F4"/>
    <w:rsid w:val="00FD6A46"/>
    <w:rsid w:val="00FD6FE1"/>
    <w:rsid w:val="00FE0BD0"/>
    <w:rsid w:val="00FE1D70"/>
    <w:rsid w:val="00FE2F27"/>
    <w:rsid w:val="00FF0737"/>
    <w:rsid w:val="00FF2E54"/>
    <w:rsid w:val="00FF65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45445"/>
  <w15:chartTrackingRefBased/>
  <w15:docId w15:val="{A0EA55FA-2F0D-4322-BC94-D1591790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rsid w:val="00E402C6"/>
    <w:pPr>
      <w:overflowPunct w:val="0"/>
      <w:autoSpaceDE w:val="0"/>
      <w:autoSpaceDN w:val="0"/>
      <w:adjustRightInd w:val="0"/>
      <w:spacing w:before="600" w:after="240" w:line="240" w:lineRule="auto"/>
      <w:ind w:firstLine="1418"/>
      <w:jc w:val="both"/>
      <w:textAlignment w:val="baseline"/>
    </w:pPr>
    <w:rPr>
      <w:rFonts w:ascii="Book Antiqua" w:eastAsia="Times New Roman" w:hAnsi="Book Antiqua" w:cs="Times New Roman"/>
      <w:sz w:val="24"/>
      <w:szCs w:val="20"/>
      <w:lang w:val="fr-FR" w:eastAsia="fr-FR" w:bidi="he-IL"/>
    </w:rPr>
  </w:style>
  <w:style w:type="character" w:customStyle="1" w:styleId="Retraitcorpsdetexte3Car">
    <w:name w:val="Retrait corps de texte 3 Car"/>
    <w:basedOn w:val="Policepardfaut"/>
    <w:link w:val="Retraitcorpsdetexte3"/>
    <w:rsid w:val="00E402C6"/>
    <w:rPr>
      <w:rFonts w:ascii="Book Antiqua" w:eastAsia="Times New Roman" w:hAnsi="Book Antiqua" w:cs="Times New Roman"/>
      <w:sz w:val="24"/>
      <w:szCs w:val="20"/>
      <w:lang w:val="fr-FR" w:eastAsia="fr-FR" w:bidi="he-IL"/>
    </w:rPr>
  </w:style>
  <w:style w:type="paragraph" w:styleId="Paragraphedeliste">
    <w:name w:val="List Paragraph"/>
    <w:basedOn w:val="Normal"/>
    <w:link w:val="ParagraphedelisteCar"/>
    <w:uiPriority w:val="34"/>
    <w:qFormat/>
    <w:rsid w:val="00727C90"/>
    <w:pPr>
      <w:ind w:left="720"/>
      <w:contextualSpacing/>
    </w:pPr>
  </w:style>
  <w:style w:type="table" w:styleId="TableauGrille4-Accentuation1">
    <w:name w:val="Grid Table 4 Accent 1"/>
    <w:basedOn w:val="TableauNormal"/>
    <w:uiPriority w:val="49"/>
    <w:rsid w:val="004A3ED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aragraphedelisteCar">
    <w:name w:val="Paragraphe de liste Car"/>
    <w:basedOn w:val="Policepardfaut"/>
    <w:link w:val="Paragraphedeliste"/>
    <w:uiPriority w:val="34"/>
    <w:rsid w:val="00F7444D"/>
  </w:style>
  <w:style w:type="paragraph" w:customStyle="1" w:styleId="AIEG1">
    <w:name w:val="AIEG1"/>
    <w:basedOn w:val="Paragraphedeliste"/>
    <w:link w:val="AIEG1Car"/>
    <w:qFormat/>
    <w:rsid w:val="00DD6506"/>
    <w:pPr>
      <w:numPr>
        <w:numId w:val="1"/>
      </w:numPr>
    </w:pPr>
    <w:rPr>
      <w:rFonts w:ascii="Verdana" w:hAnsi="Verdana"/>
      <w:b/>
      <w:color w:val="000000" w:themeColor="text1"/>
      <w:sz w:val="32"/>
      <w:szCs w:val="32"/>
    </w:rPr>
  </w:style>
  <w:style w:type="paragraph" w:customStyle="1" w:styleId="AIEG2">
    <w:name w:val="AIEG2"/>
    <w:basedOn w:val="Paragraphedeliste"/>
    <w:link w:val="AIEG2Car"/>
    <w:qFormat/>
    <w:rsid w:val="00DD6506"/>
    <w:pPr>
      <w:numPr>
        <w:ilvl w:val="1"/>
        <w:numId w:val="1"/>
      </w:numPr>
    </w:pPr>
    <w:rPr>
      <w:rFonts w:ascii="Verdana" w:hAnsi="Verdana"/>
      <w:b/>
      <w:color w:val="1F4E79" w:themeColor="accent1" w:themeShade="80"/>
      <w:sz w:val="28"/>
      <w:szCs w:val="24"/>
    </w:rPr>
  </w:style>
  <w:style w:type="paragraph" w:customStyle="1" w:styleId="AIEG3">
    <w:name w:val="AIEG3"/>
    <w:basedOn w:val="Paragraphedeliste"/>
    <w:link w:val="AIEG3Car"/>
    <w:qFormat/>
    <w:rsid w:val="00DD6506"/>
    <w:pPr>
      <w:numPr>
        <w:ilvl w:val="2"/>
        <w:numId w:val="1"/>
      </w:numPr>
    </w:pPr>
    <w:rPr>
      <w:rFonts w:ascii="Verdana" w:hAnsi="Verdana"/>
      <w:b/>
      <w:color w:val="FF0000"/>
    </w:rPr>
  </w:style>
  <w:style w:type="character" w:customStyle="1" w:styleId="AIEG2Car">
    <w:name w:val="AIEG2 Car"/>
    <w:basedOn w:val="ParagraphedelisteCar"/>
    <w:link w:val="AIEG2"/>
    <w:rsid w:val="00DD6506"/>
    <w:rPr>
      <w:rFonts w:ascii="Verdana" w:hAnsi="Verdana"/>
      <w:b/>
      <w:color w:val="1F4E79" w:themeColor="accent1" w:themeShade="80"/>
      <w:sz w:val="28"/>
      <w:szCs w:val="24"/>
    </w:rPr>
  </w:style>
  <w:style w:type="character" w:customStyle="1" w:styleId="AIEG3Car">
    <w:name w:val="AIEG3 Car"/>
    <w:basedOn w:val="ParagraphedelisteCar"/>
    <w:link w:val="AIEG3"/>
    <w:rsid w:val="00DD6506"/>
    <w:rPr>
      <w:rFonts w:ascii="Verdana" w:hAnsi="Verdana"/>
      <w:b/>
      <w:color w:val="FF0000"/>
    </w:rPr>
  </w:style>
  <w:style w:type="character" w:customStyle="1" w:styleId="AIEG1Car">
    <w:name w:val="AIEG1 Car"/>
    <w:basedOn w:val="ParagraphedelisteCar"/>
    <w:link w:val="AIEG1"/>
    <w:rsid w:val="00DD6506"/>
    <w:rPr>
      <w:rFonts w:ascii="Verdana" w:hAnsi="Verdana"/>
      <w:b/>
      <w:color w:val="000000" w:themeColor="text1"/>
      <w:sz w:val="32"/>
      <w:szCs w:val="32"/>
    </w:rPr>
  </w:style>
  <w:style w:type="paragraph" w:styleId="En-tte">
    <w:name w:val="header"/>
    <w:basedOn w:val="Normal"/>
    <w:link w:val="En-tteCar"/>
    <w:uiPriority w:val="99"/>
    <w:unhideWhenUsed/>
    <w:rsid w:val="008B6CFC"/>
    <w:pPr>
      <w:tabs>
        <w:tab w:val="center" w:pos="4536"/>
        <w:tab w:val="right" w:pos="9072"/>
      </w:tabs>
      <w:spacing w:after="0" w:line="240" w:lineRule="auto"/>
    </w:pPr>
  </w:style>
  <w:style w:type="character" w:customStyle="1" w:styleId="En-tteCar">
    <w:name w:val="En-tête Car"/>
    <w:basedOn w:val="Policepardfaut"/>
    <w:link w:val="En-tte"/>
    <w:uiPriority w:val="99"/>
    <w:rsid w:val="008B6CFC"/>
  </w:style>
  <w:style w:type="paragraph" w:styleId="Pieddepage">
    <w:name w:val="footer"/>
    <w:basedOn w:val="Normal"/>
    <w:link w:val="PieddepageCar"/>
    <w:uiPriority w:val="99"/>
    <w:unhideWhenUsed/>
    <w:rsid w:val="008B6C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6CFC"/>
  </w:style>
  <w:style w:type="paragraph" w:styleId="Textedebulles">
    <w:name w:val="Balloon Text"/>
    <w:basedOn w:val="Normal"/>
    <w:link w:val="TextedebullesCar"/>
    <w:uiPriority w:val="99"/>
    <w:semiHidden/>
    <w:unhideWhenUsed/>
    <w:rsid w:val="00C20A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0AB1"/>
    <w:rPr>
      <w:rFonts w:ascii="Segoe UI" w:hAnsi="Segoe UI" w:cs="Segoe UI"/>
      <w:sz w:val="18"/>
      <w:szCs w:val="18"/>
    </w:rPr>
  </w:style>
  <w:style w:type="table" w:styleId="TableauListe1Clair-Accentuation2">
    <w:name w:val="List Table 1 Light Accent 2"/>
    <w:basedOn w:val="TableauNormal"/>
    <w:uiPriority w:val="46"/>
    <w:rsid w:val="0092034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3-Accentuation1">
    <w:name w:val="List Table 3 Accent 1"/>
    <w:basedOn w:val="TableauNormal"/>
    <w:uiPriority w:val="48"/>
    <w:rsid w:val="00557D8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aieg4">
    <w:name w:val="aieg4"/>
    <w:basedOn w:val="AIEG3"/>
    <w:link w:val="aieg4Car"/>
    <w:qFormat/>
    <w:rsid w:val="00DD6506"/>
    <w:pPr>
      <w:numPr>
        <w:ilvl w:val="3"/>
      </w:numPr>
    </w:pPr>
    <w:rPr>
      <w:color w:val="538135" w:themeColor="accent6" w:themeShade="BF"/>
    </w:rPr>
  </w:style>
  <w:style w:type="character" w:customStyle="1" w:styleId="aieg4Car">
    <w:name w:val="aieg4 Car"/>
    <w:basedOn w:val="AIEG3Car"/>
    <w:link w:val="aieg4"/>
    <w:rsid w:val="00DD6506"/>
    <w:rPr>
      <w:rFonts w:ascii="Verdana" w:hAnsi="Verdana"/>
      <w:b/>
      <w:color w:val="538135"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736">
      <w:bodyDiv w:val="1"/>
      <w:marLeft w:val="0"/>
      <w:marRight w:val="0"/>
      <w:marTop w:val="0"/>
      <w:marBottom w:val="0"/>
      <w:divBdr>
        <w:top w:val="none" w:sz="0" w:space="0" w:color="auto"/>
        <w:left w:val="none" w:sz="0" w:space="0" w:color="auto"/>
        <w:bottom w:val="none" w:sz="0" w:space="0" w:color="auto"/>
        <w:right w:val="none" w:sz="0" w:space="0" w:color="auto"/>
      </w:divBdr>
    </w:div>
    <w:div w:id="26417368">
      <w:bodyDiv w:val="1"/>
      <w:marLeft w:val="0"/>
      <w:marRight w:val="0"/>
      <w:marTop w:val="0"/>
      <w:marBottom w:val="0"/>
      <w:divBdr>
        <w:top w:val="none" w:sz="0" w:space="0" w:color="auto"/>
        <w:left w:val="none" w:sz="0" w:space="0" w:color="auto"/>
        <w:bottom w:val="none" w:sz="0" w:space="0" w:color="auto"/>
        <w:right w:val="none" w:sz="0" w:space="0" w:color="auto"/>
      </w:divBdr>
    </w:div>
    <w:div w:id="30692841">
      <w:bodyDiv w:val="1"/>
      <w:marLeft w:val="0"/>
      <w:marRight w:val="0"/>
      <w:marTop w:val="0"/>
      <w:marBottom w:val="0"/>
      <w:divBdr>
        <w:top w:val="none" w:sz="0" w:space="0" w:color="auto"/>
        <w:left w:val="none" w:sz="0" w:space="0" w:color="auto"/>
        <w:bottom w:val="none" w:sz="0" w:space="0" w:color="auto"/>
        <w:right w:val="none" w:sz="0" w:space="0" w:color="auto"/>
      </w:divBdr>
    </w:div>
    <w:div w:id="64226830">
      <w:bodyDiv w:val="1"/>
      <w:marLeft w:val="0"/>
      <w:marRight w:val="0"/>
      <w:marTop w:val="0"/>
      <w:marBottom w:val="0"/>
      <w:divBdr>
        <w:top w:val="none" w:sz="0" w:space="0" w:color="auto"/>
        <w:left w:val="none" w:sz="0" w:space="0" w:color="auto"/>
        <w:bottom w:val="none" w:sz="0" w:space="0" w:color="auto"/>
        <w:right w:val="none" w:sz="0" w:space="0" w:color="auto"/>
      </w:divBdr>
    </w:div>
    <w:div w:id="91634513">
      <w:bodyDiv w:val="1"/>
      <w:marLeft w:val="0"/>
      <w:marRight w:val="0"/>
      <w:marTop w:val="0"/>
      <w:marBottom w:val="0"/>
      <w:divBdr>
        <w:top w:val="none" w:sz="0" w:space="0" w:color="auto"/>
        <w:left w:val="none" w:sz="0" w:space="0" w:color="auto"/>
        <w:bottom w:val="none" w:sz="0" w:space="0" w:color="auto"/>
        <w:right w:val="none" w:sz="0" w:space="0" w:color="auto"/>
      </w:divBdr>
    </w:div>
    <w:div w:id="137260810">
      <w:bodyDiv w:val="1"/>
      <w:marLeft w:val="0"/>
      <w:marRight w:val="0"/>
      <w:marTop w:val="0"/>
      <w:marBottom w:val="0"/>
      <w:divBdr>
        <w:top w:val="none" w:sz="0" w:space="0" w:color="auto"/>
        <w:left w:val="none" w:sz="0" w:space="0" w:color="auto"/>
        <w:bottom w:val="none" w:sz="0" w:space="0" w:color="auto"/>
        <w:right w:val="none" w:sz="0" w:space="0" w:color="auto"/>
      </w:divBdr>
    </w:div>
    <w:div w:id="147019658">
      <w:bodyDiv w:val="1"/>
      <w:marLeft w:val="0"/>
      <w:marRight w:val="0"/>
      <w:marTop w:val="0"/>
      <w:marBottom w:val="0"/>
      <w:divBdr>
        <w:top w:val="none" w:sz="0" w:space="0" w:color="auto"/>
        <w:left w:val="none" w:sz="0" w:space="0" w:color="auto"/>
        <w:bottom w:val="none" w:sz="0" w:space="0" w:color="auto"/>
        <w:right w:val="none" w:sz="0" w:space="0" w:color="auto"/>
      </w:divBdr>
    </w:div>
    <w:div w:id="166136692">
      <w:bodyDiv w:val="1"/>
      <w:marLeft w:val="0"/>
      <w:marRight w:val="0"/>
      <w:marTop w:val="0"/>
      <w:marBottom w:val="0"/>
      <w:divBdr>
        <w:top w:val="none" w:sz="0" w:space="0" w:color="auto"/>
        <w:left w:val="none" w:sz="0" w:space="0" w:color="auto"/>
        <w:bottom w:val="none" w:sz="0" w:space="0" w:color="auto"/>
        <w:right w:val="none" w:sz="0" w:space="0" w:color="auto"/>
      </w:divBdr>
    </w:div>
    <w:div w:id="191037713">
      <w:bodyDiv w:val="1"/>
      <w:marLeft w:val="0"/>
      <w:marRight w:val="0"/>
      <w:marTop w:val="0"/>
      <w:marBottom w:val="0"/>
      <w:divBdr>
        <w:top w:val="none" w:sz="0" w:space="0" w:color="auto"/>
        <w:left w:val="none" w:sz="0" w:space="0" w:color="auto"/>
        <w:bottom w:val="none" w:sz="0" w:space="0" w:color="auto"/>
        <w:right w:val="none" w:sz="0" w:space="0" w:color="auto"/>
      </w:divBdr>
    </w:div>
    <w:div w:id="194930689">
      <w:bodyDiv w:val="1"/>
      <w:marLeft w:val="0"/>
      <w:marRight w:val="0"/>
      <w:marTop w:val="0"/>
      <w:marBottom w:val="0"/>
      <w:divBdr>
        <w:top w:val="none" w:sz="0" w:space="0" w:color="auto"/>
        <w:left w:val="none" w:sz="0" w:space="0" w:color="auto"/>
        <w:bottom w:val="none" w:sz="0" w:space="0" w:color="auto"/>
        <w:right w:val="none" w:sz="0" w:space="0" w:color="auto"/>
      </w:divBdr>
    </w:div>
    <w:div w:id="210264481">
      <w:bodyDiv w:val="1"/>
      <w:marLeft w:val="0"/>
      <w:marRight w:val="0"/>
      <w:marTop w:val="0"/>
      <w:marBottom w:val="0"/>
      <w:divBdr>
        <w:top w:val="none" w:sz="0" w:space="0" w:color="auto"/>
        <w:left w:val="none" w:sz="0" w:space="0" w:color="auto"/>
        <w:bottom w:val="none" w:sz="0" w:space="0" w:color="auto"/>
        <w:right w:val="none" w:sz="0" w:space="0" w:color="auto"/>
      </w:divBdr>
    </w:div>
    <w:div w:id="214970317">
      <w:bodyDiv w:val="1"/>
      <w:marLeft w:val="0"/>
      <w:marRight w:val="0"/>
      <w:marTop w:val="0"/>
      <w:marBottom w:val="0"/>
      <w:divBdr>
        <w:top w:val="none" w:sz="0" w:space="0" w:color="auto"/>
        <w:left w:val="none" w:sz="0" w:space="0" w:color="auto"/>
        <w:bottom w:val="none" w:sz="0" w:space="0" w:color="auto"/>
        <w:right w:val="none" w:sz="0" w:space="0" w:color="auto"/>
      </w:divBdr>
    </w:div>
    <w:div w:id="268706731">
      <w:bodyDiv w:val="1"/>
      <w:marLeft w:val="0"/>
      <w:marRight w:val="0"/>
      <w:marTop w:val="0"/>
      <w:marBottom w:val="0"/>
      <w:divBdr>
        <w:top w:val="none" w:sz="0" w:space="0" w:color="auto"/>
        <w:left w:val="none" w:sz="0" w:space="0" w:color="auto"/>
        <w:bottom w:val="none" w:sz="0" w:space="0" w:color="auto"/>
        <w:right w:val="none" w:sz="0" w:space="0" w:color="auto"/>
      </w:divBdr>
    </w:div>
    <w:div w:id="326785666">
      <w:bodyDiv w:val="1"/>
      <w:marLeft w:val="0"/>
      <w:marRight w:val="0"/>
      <w:marTop w:val="0"/>
      <w:marBottom w:val="0"/>
      <w:divBdr>
        <w:top w:val="none" w:sz="0" w:space="0" w:color="auto"/>
        <w:left w:val="none" w:sz="0" w:space="0" w:color="auto"/>
        <w:bottom w:val="none" w:sz="0" w:space="0" w:color="auto"/>
        <w:right w:val="none" w:sz="0" w:space="0" w:color="auto"/>
      </w:divBdr>
    </w:div>
    <w:div w:id="336159802">
      <w:bodyDiv w:val="1"/>
      <w:marLeft w:val="0"/>
      <w:marRight w:val="0"/>
      <w:marTop w:val="0"/>
      <w:marBottom w:val="0"/>
      <w:divBdr>
        <w:top w:val="none" w:sz="0" w:space="0" w:color="auto"/>
        <w:left w:val="none" w:sz="0" w:space="0" w:color="auto"/>
        <w:bottom w:val="none" w:sz="0" w:space="0" w:color="auto"/>
        <w:right w:val="none" w:sz="0" w:space="0" w:color="auto"/>
      </w:divBdr>
    </w:div>
    <w:div w:id="343939892">
      <w:bodyDiv w:val="1"/>
      <w:marLeft w:val="0"/>
      <w:marRight w:val="0"/>
      <w:marTop w:val="0"/>
      <w:marBottom w:val="0"/>
      <w:divBdr>
        <w:top w:val="none" w:sz="0" w:space="0" w:color="auto"/>
        <w:left w:val="none" w:sz="0" w:space="0" w:color="auto"/>
        <w:bottom w:val="none" w:sz="0" w:space="0" w:color="auto"/>
        <w:right w:val="none" w:sz="0" w:space="0" w:color="auto"/>
      </w:divBdr>
    </w:div>
    <w:div w:id="348917996">
      <w:bodyDiv w:val="1"/>
      <w:marLeft w:val="0"/>
      <w:marRight w:val="0"/>
      <w:marTop w:val="0"/>
      <w:marBottom w:val="0"/>
      <w:divBdr>
        <w:top w:val="none" w:sz="0" w:space="0" w:color="auto"/>
        <w:left w:val="none" w:sz="0" w:space="0" w:color="auto"/>
        <w:bottom w:val="none" w:sz="0" w:space="0" w:color="auto"/>
        <w:right w:val="none" w:sz="0" w:space="0" w:color="auto"/>
      </w:divBdr>
    </w:div>
    <w:div w:id="397366657">
      <w:bodyDiv w:val="1"/>
      <w:marLeft w:val="0"/>
      <w:marRight w:val="0"/>
      <w:marTop w:val="0"/>
      <w:marBottom w:val="0"/>
      <w:divBdr>
        <w:top w:val="none" w:sz="0" w:space="0" w:color="auto"/>
        <w:left w:val="none" w:sz="0" w:space="0" w:color="auto"/>
        <w:bottom w:val="none" w:sz="0" w:space="0" w:color="auto"/>
        <w:right w:val="none" w:sz="0" w:space="0" w:color="auto"/>
      </w:divBdr>
    </w:div>
    <w:div w:id="405958883">
      <w:bodyDiv w:val="1"/>
      <w:marLeft w:val="0"/>
      <w:marRight w:val="0"/>
      <w:marTop w:val="0"/>
      <w:marBottom w:val="0"/>
      <w:divBdr>
        <w:top w:val="none" w:sz="0" w:space="0" w:color="auto"/>
        <w:left w:val="none" w:sz="0" w:space="0" w:color="auto"/>
        <w:bottom w:val="none" w:sz="0" w:space="0" w:color="auto"/>
        <w:right w:val="none" w:sz="0" w:space="0" w:color="auto"/>
      </w:divBdr>
    </w:div>
    <w:div w:id="413402024">
      <w:bodyDiv w:val="1"/>
      <w:marLeft w:val="0"/>
      <w:marRight w:val="0"/>
      <w:marTop w:val="0"/>
      <w:marBottom w:val="0"/>
      <w:divBdr>
        <w:top w:val="none" w:sz="0" w:space="0" w:color="auto"/>
        <w:left w:val="none" w:sz="0" w:space="0" w:color="auto"/>
        <w:bottom w:val="none" w:sz="0" w:space="0" w:color="auto"/>
        <w:right w:val="none" w:sz="0" w:space="0" w:color="auto"/>
      </w:divBdr>
    </w:div>
    <w:div w:id="415515058">
      <w:bodyDiv w:val="1"/>
      <w:marLeft w:val="0"/>
      <w:marRight w:val="0"/>
      <w:marTop w:val="0"/>
      <w:marBottom w:val="0"/>
      <w:divBdr>
        <w:top w:val="none" w:sz="0" w:space="0" w:color="auto"/>
        <w:left w:val="none" w:sz="0" w:space="0" w:color="auto"/>
        <w:bottom w:val="none" w:sz="0" w:space="0" w:color="auto"/>
        <w:right w:val="none" w:sz="0" w:space="0" w:color="auto"/>
      </w:divBdr>
    </w:div>
    <w:div w:id="420953506">
      <w:bodyDiv w:val="1"/>
      <w:marLeft w:val="0"/>
      <w:marRight w:val="0"/>
      <w:marTop w:val="0"/>
      <w:marBottom w:val="0"/>
      <w:divBdr>
        <w:top w:val="none" w:sz="0" w:space="0" w:color="auto"/>
        <w:left w:val="none" w:sz="0" w:space="0" w:color="auto"/>
        <w:bottom w:val="none" w:sz="0" w:space="0" w:color="auto"/>
        <w:right w:val="none" w:sz="0" w:space="0" w:color="auto"/>
      </w:divBdr>
    </w:div>
    <w:div w:id="425267070">
      <w:bodyDiv w:val="1"/>
      <w:marLeft w:val="0"/>
      <w:marRight w:val="0"/>
      <w:marTop w:val="0"/>
      <w:marBottom w:val="0"/>
      <w:divBdr>
        <w:top w:val="none" w:sz="0" w:space="0" w:color="auto"/>
        <w:left w:val="none" w:sz="0" w:space="0" w:color="auto"/>
        <w:bottom w:val="none" w:sz="0" w:space="0" w:color="auto"/>
        <w:right w:val="none" w:sz="0" w:space="0" w:color="auto"/>
      </w:divBdr>
    </w:div>
    <w:div w:id="426073458">
      <w:bodyDiv w:val="1"/>
      <w:marLeft w:val="0"/>
      <w:marRight w:val="0"/>
      <w:marTop w:val="0"/>
      <w:marBottom w:val="0"/>
      <w:divBdr>
        <w:top w:val="none" w:sz="0" w:space="0" w:color="auto"/>
        <w:left w:val="none" w:sz="0" w:space="0" w:color="auto"/>
        <w:bottom w:val="none" w:sz="0" w:space="0" w:color="auto"/>
        <w:right w:val="none" w:sz="0" w:space="0" w:color="auto"/>
      </w:divBdr>
    </w:div>
    <w:div w:id="460197478">
      <w:bodyDiv w:val="1"/>
      <w:marLeft w:val="0"/>
      <w:marRight w:val="0"/>
      <w:marTop w:val="0"/>
      <w:marBottom w:val="0"/>
      <w:divBdr>
        <w:top w:val="none" w:sz="0" w:space="0" w:color="auto"/>
        <w:left w:val="none" w:sz="0" w:space="0" w:color="auto"/>
        <w:bottom w:val="none" w:sz="0" w:space="0" w:color="auto"/>
        <w:right w:val="none" w:sz="0" w:space="0" w:color="auto"/>
      </w:divBdr>
    </w:div>
    <w:div w:id="471679480">
      <w:bodyDiv w:val="1"/>
      <w:marLeft w:val="0"/>
      <w:marRight w:val="0"/>
      <w:marTop w:val="0"/>
      <w:marBottom w:val="0"/>
      <w:divBdr>
        <w:top w:val="none" w:sz="0" w:space="0" w:color="auto"/>
        <w:left w:val="none" w:sz="0" w:space="0" w:color="auto"/>
        <w:bottom w:val="none" w:sz="0" w:space="0" w:color="auto"/>
        <w:right w:val="none" w:sz="0" w:space="0" w:color="auto"/>
      </w:divBdr>
    </w:div>
    <w:div w:id="483086913">
      <w:bodyDiv w:val="1"/>
      <w:marLeft w:val="0"/>
      <w:marRight w:val="0"/>
      <w:marTop w:val="0"/>
      <w:marBottom w:val="0"/>
      <w:divBdr>
        <w:top w:val="none" w:sz="0" w:space="0" w:color="auto"/>
        <w:left w:val="none" w:sz="0" w:space="0" w:color="auto"/>
        <w:bottom w:val="none" w:sz="0" w:space="0" w:color="auto"/>
        <w:right w:val="none" w:sz="0" w:space="0" w:color="auto"/>
      </w:divBdr>
    </w:div>
    <w:div w:id="503133419">
      <w:bodyDiv w:val="1"/>
      <w:marLeft w:val="0"/>
      <w:marRight w:val="0"/>
      <w:marTop w:val="0"/>
      <w:marBottom w:val="0"/>
      <w:divBdr>
        <w:top w:val="none" w:sz="0" w:space="0" w:color="auto"/>
        <w:left w:val="none" w:sz="0" w:space="0" w:color="auto"/>
        <w:bottom w:val="none" w:sz="0" w:space="0" w:color="auto"/>
        <w:right w:val="none" w:sz="0" w:space="0" w:color="auto"/>
      </w:divBdr>
    </w:div>
    <w:div w:id="509367450">
      <w:bodyDiv w:val="1"/>
      <w:marLeft w:val="0"/>
      <w:marRight w:val="0"/>
      <w:marTop w:val="0"/>
      <w:marBottom w:val="0"/>
      <w:divBdr>
        <w:top w:val="none" w:sz="0" w:space="0" w:color="auto"/>
        <w:left w:val="none" w:sz="0" w:space="0" w:color="auto"/>
        <w:bottom w:val="none" w:sz="0" w:space="0" w:color="auto"/>
        <w:right w:val="none" w:sz="0" w:space="0" w:color="auto"/>
      </w:divBdr>
    </w:div>
    <w:div w:id="542209778">
      <w:bodyDiv w:val="1"/>
      <w:marLeft w:val="0"/>
      <w:marRight w:val="0"/>
      <w:marTop w:val="0"/>
      <w:marBottom w:val="0"/>
      <w:divBdr>
        <w:top w:val="none" w:sz="0" w:space="0" w:color="auto"/>
        <w:left w:val="none" w:sz="0" w:space="0" w:color="auto"/>
        <w:bottom w:val="none" w:sz="0" w:space="0" w:color="auto"/>
        <w:right w:val="none" w:sz="0" w:space="0" w:color="auto"/>
      </w:divBdr>
    </w:div>
    <w:div w:id="543950725">
      <w:bodyDiv w:val="1"/>
      <w:marLeft w:val="0"/>
      <w:marRight w:val="0"/>
      <w:marTop w:val="0"/>
      <w:marBottom w:val="0"/>
      <w:divBdr>
        <w:top w:val="none" w:sz="0" w:space="0" w:color="auto"/>
        <w:left w:val="none" w:sz="0" w:space="0" w:color="auto"/>
        <w:bottom w:val="none" w:sz="0" w:space="0" w:color="auto"/>
        <w:right w:val="none" w:sz="0" w:space="0" w:color="auto"/>
      </w:divBdr>
    </w:div>
    <w:div w:id="562719186">
      <w:bodyDiv w:val="1"/>
      <w:marLeft w:val="0"/>
      <w:marRight w:val="0"/>
      <w:marTop w:val="0"/>
      <w:marBottom w:val="0"/>
      <w:divBdr>
        <w:top w:val="none" w:sz="0" w:space="0" w:color="auto"/>
        <w:left w:val="none" w:sz="0" w:space="0" w:color="auto"/>
        <w:bottom w:val="none" w:sz="0" w:space="0" w:color="auto"/>
        <w:right w:val="none" w:sz="0" w:space="0" w:color="auto"/>
      </w:divBdr>
    </w:div>
    <w:div w:id="565919235">
      <w:bodyDiv w:val="1"/>
      <w:marLeft w:val="0"/>
      <w:marRight w:val="0"/>
      <w:marTop w:val="0"/>
      <w:marBottom w:val="0"/>
      <w:divBdr>
        <w:top w:val="none" w:sz="0" w:space="0" w:color="auto"/>
        <w:left w:val="none" w:sz="0" w:space="0" w:color="auto"/>
        <w:bottom w:val="none" w:sz="0" w:space="0" w:color="auto"/>
        <w:right w:val="none" w:sz="0" w:space="0" w:color="auto"/>
      </w:divBdr>
    </w:div>
    <w:div w:id="597760184">
      <w:bodyDiv w:val="1"/>
      <w:marLeft w:val="0"/>
      <w:marRight w:val="0"/>
      <w:marTop w:val="0"/>
      <w:marBottom w:val="0"/>
      <w:divBdr>
        <w:top w:val="none" w:sz="0" w:space="0" w:color="auto"/>
        <w:left w:val="none" w:sz="0" w:space="0" w:color="auto"/>
        <w:bottom w:val="none" w:sz="0" w:space="0" w:color="auto"/>
        <w:right w:val="none" w:sz="0" w:space="0" w:color="auto"/>
      </w:divBdr>
    </w:div>
    <w:div w:id="612174047">
      <w:bodyDiv w:val="1"/>
      <w:marLeft w:val="0"/>
      <w:marRight w:val="0"/>
      <w:marTop w:val="0"/>
      <w:marBottom w:val="0"/>
      <w:divBdr>
        <w:top w:val="none" w:sz="0" w:space="0" w:color="auto"/>
        <w:left w:val="none" w:sz="0" w:space="0" w:color="auto"/>
        <w:bottom w:val="none" w:sz="0" w:space="0" w:color="auto"/>
        <w:right w:val="none" w:sz="0" w:space="0" w:color="auto"/>
      </w:divBdr>
    </w:div>
    <w:div w:id="636644541">
      <w:bodyDiv w:val="1"/>
      <w:marLeft w:val="0"/>
      <w:marRight w:val="0"/>
      <w:marTop w:val="0"/>
      <w:marBottom w:val="0"/>
      <w:divBdr>
        <w:top w:val="none" w:sz="0" w:space="0" w:color="auto"/>
        <w:left w:val="none" w:sz="0" w:space="0" w:color="auto"/>
        <w:bottom w:val="none" w:sz="0" w:space="0" w:color="auto"/>
        <w:right w:val="none" w:sz="0" w:space="0" w:color="auto"/>
      </w:divBdr>
    </w:div>
    <w:div w:id="657030583">
      <w:bodyDiv w:val="1"/>
      <w:marLeft w:val="0"/>
      <w:marRight w:val="0"/>
      <w:marTop w:val="0"/>
      <w:marBottom w:val="0"/>
      <w:divBdr>
        <w:top w:val="none" w:sz="0" w:space="0" w:color="auto"/>
        <w:left w:val="none" w:sz="0" w:space="0" w:color="auto"/>
        <w:bottom w:val="none" w:sz="0" w:space="0" w:color="auto"/>
        <w:right w:val="none" w:sz="0" w:space="0" w:color="auto"/>
      </w:divBdr>
    </w:div>
    <w:div w:id="665518288">
      <w:bodyDiv w:val="1"/>
      <w:marLeft w:val="0"/>
      <w:marRight w:val="0"/>
      <w:marTop w:val="0"/>
      <w:marBottom w:val="0"/>
      <w:divBdr>
        <w:top w:val="none" w:sz="0" w:space="0" w:color="auto"/>
        <w:left w:val="none" w:sz="0" w:space="0" w:color="auto"/>
        <w:bottom w:val="none" w:sz="0" w:space="0" w:color="auto"/>
        <w:right w:val="none" w:sz="0" w:space="0" w:color="auto"/>
      </w:divBdr>
    </w:div>
    <w:div w:id="683020709">
      <w:bodyDiv w:val="1"/>
      <w:marLeft w:val="0"/>
      <w:marRight w:val="0"/>
      <w:marTop w:val="0"/>
      <w:marBottom w:val="0"/>
      <w:divBdr>
        <w:top w:val="none" w:sz="0" w:space="0" w:color="auto"/>
        <w:left w:val="none" w:sz="0" w:space="0" w:color="auto"/>
        <w:bottom w:val="none" w:sz="0" w:space="0" w:color="auto"/>
        <w:right w:val="none" w:sz="0" w:space="0" w:color="auto"/>
      </w:divBdr>
    </w:div>
    <w:div w:id="712921220">
      <w:bodyDiv w:val="1"/>
      <w:marLeft w:val="0"/>
      <w:marRight w:val="0"/>
      <w:marTop w:val="0"/>
      <w:marBottom w:val="0"/>
      <w:divBdr>
        <w:top w:val="none" w:sz="0" w:space="0" w:color="auto"/>
        <w:left w:val="none" w:sz="0" w:space="0" w:color="auto"/>
        <w:bottom w:val="none" w:sz="0" w:space="0" w:color="auto"/>
        <w:right w:val="none" w:sz="0" w:space="0" w:color="auto"/>
      </w:divBdr>
    </w:div>
    <w:div w:id="713581723">
      <w:bodyDiv w:val="1"/>
      <w:marLeft w:val="0"/>
      <w:marRight w:val="0"/>
      <w:marTop w:val="0"/>
      <w:marBottom w:val="0"/>
      <w:divBdr>
        <w:top w:val="none" w:sz="0" w:space="0" w:color="auto"/>
        <w:left w:val="none" w:sz="0" w:space="0" w:color="auto"/>
        <w:bottom w:val="none" w:sz="0" w:space="0" w:color="auto"/>
        <w:right w:val="none" w:sz="0" w:space="0" w:color="auto"/>
      </w:divBdr>
    </w:div>
    <w:div w:id="740249973">
      <w:bodyDiv w:val="1"/>
      <w:marLeft w:val="0"/>
      <w:marRight w:val="0"/>
      <w:marTop w:val="0"/>
      <w:marBottom w:val="0"/>
      <w:divBdr>
        <w:top w:val="none" w:sz="0" w:space="0" w:color="auto"/>
        <w:left w:val="none" w:sz="0" w:space="0" w:color="auto"/>
        <w:bottom w:val="none" w:sz="0" w:space="0" w:color="auto"/>
        <w:right w:val="none" w:sz="0" w:space="0" w:color="auto"/>
      </w:divBdr>
    </w:div>
    <w:div w:id="742878209">
      <w:bodyDiv w:val="1"/>
      <w:marLeft w:val="0"/>
      <w:marRight w:val="0"/>
      <w:marTop w:val="0"/>
      <w:marBottom w:val="0"/>
      <w:divBdr>
        <w:top w:val="none" w:sz="0" w:space="0" w:color="auto"/>
        <w:left w:val="none" w:sz="0" w:space="0" w:color="auto"/>
        <w:bottom w:val="none" w:sz="0" w:space="0" w:color="auto"/>
        <w:right w:val="none" w:sz="0" w:space="0" w:color="auto"/>
      </w:divBdr>
    </w:div>
    <w:div w:id="760225877">
      <w:bodyDiv w:val="1"/>
      <w:marLeft w:val="0"/>
      <w:marRight w:val="0"/>
      <w:marTop w:val="0"/>
      <w:marBottom w:val="0"/>
      <w:divBdr>
        <w:top w:val="none" w:sz="0" w:space="0" w:color="auto"/>
        <w:left w:val="none" w:sz="0" w:space="0" w:color="auto"/>
        <w:bottom w:val="none" w:sz="0" w:space="0" w:color="auto"/>
        <w:right w:val="none" w:sz="0" w:space="0" w:color="auto"/>
      </w:divBdr>
    </w:div>
    <w:div w:id="765460745">
      <w:bodyDiv w:val="1"/>
      <w:marLeft w:val="0"/>
      <w:marRight w:val="0"/>
      <w:marTop w:val="0"/>
      <w:marBottom w:val="0"/>
      <w:divBdr>
        <w:top w:val="none" w:sz="0" w:space="0" w:color="auto"/>
        <w:left w:val="none" w:sz="0" w:space="0" w:color="auto"/>
        <w:bottom w:val="none" w:sz="0" w:space="0" w:color="auto"/>
        <w:right w:val="none" w:sz="0" w:space="0" w:color="auto"/>
      </w:divBdr>
    </w:div>
    <w:div w:id="780345879">
      <w:bodyDiv w:val="1"/>
      <w:marLeft w:val="0"/>
      <w:marRight w:val="0"/>
      <w:marTop w:val="0"/>
      <w:marBottom w:val="0"/>
      <w:divBdr>
        <w:top w:val="none" w:sz="0" w:space="0" w:color="auto"/>
        <w:left w:val="none" w:sz="0" w:space="0" w:color="auto"/>
        <w:bottom w:val="none" w:sz="0" w:space="0" w:color="auto"/>
        <w:right w:val="none" w:sz="0" w:space="0" w:color="auto"/>
      </w:divBdr>
    </w:div>
    <w:div w:id="807239158">
      <w:bodyDiv w:val="1"/>
      <w:marLeft w:val="0"/>
      <w:marRight w:val="0"/>
      <w:marTop w:val="0"/>
      <w:marBottom w:val="0"/>
      <w:divBdr>
        <w:top w:val="none" w:sz="0" w:space="0" w:color="auto"/>
        <w:left w:val="none" w:sz="0" w:space="0" w:color="auto"/>
        <w:bottom w:val="none" w:sz="0" w:space="0" w:color="auto"/>
        <w:right w:val="none" w:sz="0" w:space="0" w:color="auto"/>
      </w:divBdr>
    </w:div>
    <w:div w:id="838538810">
      <w:bodyDiv w:val="1"/>
      <w:marLeft w:val="0"/>
      <w:marRight w:val="0"/>
      <w:marTop w:val="0"/>
      <w:marBottom w:val="0"/>
      <w:divBdr>
        <w:top w:val="none" w:sz="0" w:space="0" w:color="auto"/>
        <w:left w:val="none" w:sz="0" w:space="0" w:color="auto"/>
        <w:bottom w:val="none" w:sz="0" w:space="0" w:color="auto"/>
        <w:right w:val="none" w:sz="0" w:space="0" w:color="auto"/>
      </w:divBdr>
    </w:div>
    <w:div w:id="858857361">
      <w:bodyDiv w:val="1"/>
      <w:marLeft w:val="0"/>
      <w:marRight w:val="0"/>
      <w:marTop w:val="0"/>
      <w:marBottom w:val="0"/>
      <w:divBdr>
        <w:top w:val="none" w:sz="0" w:space="0" w:color="auto"/>
        <w:left w:val="none" w:sz="0" w:space="0" w:color="auto"/>
        <w:bottom w:val="none" w:sz="0" w:space="0" w:color="auto"/>
        <w:right w:val="none" w:sz="0" w:space="0" w:color="auto"/>
      </w:divBdr>
    </w:div>
    <w:div w:id="868880985">
      <w:bodyDiv w:val="1"/>
      <w:marLeft w:val="0"/>
      <w:marRight w:val="0"/>
      <w:marTop w:val="0"/>
      <w:marBottom w:val="0"/>
      <w:divBdr>
        <w:top w:val="none" w:sz="0" w:space="0" w:color="auto"/>
        <w:left w:val="none" w:sz="0" w:space="0" w:color="auto"/>
        <w:bottom w:val="none" w:sz="0" w:space="0" w:color="auto"/>
        <w:right w:val="none" w:sz="0" w:space="0" w:color="auto"/>
      </w:divBdr>
    </w:div>
    <w:div w:id="892736708">
      <w:bodyDiv w:val="1"/>
      <w:marLeft w:val="0"/>
      <w:marRight w:val="0"/>
      <w:marTop w:val="0"/>
      <w:marBottom w:val="0"/>
      <w:divBdr>
        <w:top w:val="none" w:sz="0" w:space="0" w:color="auto"/>
        <w:left w:val="none" w:sz="0" w:space="0" w:color="auto"/>
        <w:bottom w:val="none" w:sz="0" w:space="0" w:color="auto"/>
        <w:right w:val="none" w:sz="0" w:space="0" w:color="auto"/>
      </w:divBdr>
    </w:div>
    <w:div w:id="908882450">
      <w:bodyDiv w:val="1"/>
      <w:marLeft w:val="0"/>
      <w:marRight w:val="0"/>
      <w:marTop w:val="0"/>
      <w:marBottom w:val="0"/>
      <w:divBdr>
        <w:top w:val="none" w:sz="0" w:space="0" w:color="auto"/>
        <w:left w:val="none" w:sz="0" w:space="0" w:color="auto"/>
        <w:bottom w:val="none" w:sz="0" w:space="0" w:color="auto"/>
        <w:right w:val="none" w:sz="0" w:space="0" w:color="auto"/>
      </w:divBdr>
    </w:div>
    <w:div w:id="992367145">
      <w:bodyDiv w:val="1"/>
      <w:marLeft w:val="0"/>
      <w:marRight w:val="0"/>
      <w:marTop w:val="0"/>
      <w:marBottom w:val="0"/>
      <w:divBdr>
        <w:top w:val="none" w:sz="0" w:space="0" w:color="auto"/>
        <w:left w:val="none" w:sz="0" w:space="0" w:color="auto"/>
        <w:bottom w:val="none" w:sz="0" w:space="0" w:color="auto"/>
        <w:right w:val="none" w:sz="0" w:space="0" w:color="auto"/>
      </w:divBdr>
    </w:div>
    <w:div w:id="992872303">
      <w:bodyDiv w:val="1"/>
      <w:marLeft w:val="0"/>
      <w:marRight w:val="0"/>
      <w:marTop w:val="0"/>
      <w:marBottom w:val="0"/>
      <w:divBdr>
        <w:top w:val="none" w:sz="0" w:space="0" w:color="auto"/>
        <w:left w:val="none" w:sz="0" w:space="0" w:color="auto"/>
        <w:bottom w:val="none" w:sz="0" w:space="0" w:color="auto"/>
        <w:right w:val="none" w:sz="0" w:space="0" w:color="auto"/>
      </w:divBdr>
    </w:div>
    <w:div w:id="1008870235">
      <w:bodyDiv w:val="1"/>
      <w:marLeft w:val="0"/>
      <w:marRight w:val="0"/>
      <w:marTop w:val="0"/>
      <w:marBottom w:val="0"/>
      <w:divBdr>
        <w:top w:val="none" w:sz="0" w:space="0" w:color="auto"/>
        <w:left w:val="none" w:sz="0" w:space="0" w:color="auto"/>
        <w:bottom w:val="none" w:sz="0" w:space="0" w:color="auto"/>
        <w:right w:val="none" w:sz="0" w:space="0" w:color="auto"/>
      </w:divBdr>
    </w:div>
    <w:div w:id="1037899064">
      <w:bodyDiv w:val="1"/>
      <w:marLeft w:val="0"/>
      <w:marRight w:val="0"/>
      <w:marTop w:val="0"/>
      <w:marBottom w:val="0"/>
      <w:divBdr>
        <w:top w:val="none" w:sz="0" w:space="0" w:color="auto"/>
        <w:left w:val="none" w:sz="0" w:space="0" w:color="auto"/>
        <w:bottom w:val="none" w:sz="0" w:space="0" w:color="auto"/>
        <w:right w:val="none" w:sz="0" w:space="0" w:color="auto"/>
      </w:divBdr>
    </w:div>
    <w:div w:id="1046686489">
      <w:bodyDiv w:val="1"/>
      <w:marLeft w:val="0"/>
      <w:marRight w:val="0"/>
      <w:marTop w:val="0"/>
      <w:marBottom w:val="0"/>
      <w:divBdr>
        <w:top w:val="none" w:sz="0" w:space="0" w:color="auto"/>
        <w:left w:val="none" w:sz="0" w:space="0" w:color="auto"/>
        <w:bottom w:val="none" w:sz="0" w:space="0" w:color="auto"/>
        <w:right w:val="none" w:sz="0" w:space="0" w:color="auto"/>
      </w:divBdr>
    </w:div>
    <w:div w:id="1061952194">
      <w:bodyDiv w:val="1"/>
      <w:marLeft w:val="0"/>
      <w:marRight w:val="0"/>
      <w:marTop w:val="0"/>
      <w:marBottom w:val="0"/>
      <w:divBdr>
        <w:top w:val="none" w:sz="0" w:space="0" w:color="auto"/>
        <w:left w:val="none" w:sz="0" w:space="0" w:color="auto"/>
        <w:bottom w:val="none" w:sz="0" w:space="0" w:color="auto"/>
        <w:right w:val="none" w:sz="0" w:space="0" w:color="auto"/>
      </w:divBdr>
    </w:div>
    <w:div w:id="1070269809">
      <w:bodyDiv w:val="1"/>
      <w:marLeft w:val="0"/>
      <w:marRight w:val="0"/>
      <w:marTop w:val="0"/>
      <w:marBottom w:val="0"/>
      <w:divBdr>
        <w:top w:val="none" w:sz="0" w:space="0" w:color="auto"/>
        <w:left w:val="none" w:sz="0" w:space="0" w:color="auto"/>
        <w:bottom w:val="none" w:sz="0" w:space="0" w:color="auto"/>
        <w:right w:val="none" w:sz="0" w:space="0" w:color="auto"/>
      </w:divBdr>
    </w:div>
    <w:div w:id="1075011113">
      <w:bodyDiv w:val="1"/>
      <w:marLeft w:val="0"/>
      <w:marRight w:val="0"/>
      <w:marTop w:val="0"/>
      <w:marBottom w:val="0"/>
      <w:divBdr>
        <w:top w:val="none" w:sz="0" w:space="0" w:color="auto"/>
        <w:left w:val="none" w:sz="0" w:space="0" w:color="auto"/>
        <w:bottom w:val="none" w:sz="0" w:space="0" w:color="auto"/>
        <w:right w:val="none" w:sz="0" w:space="0" w:color="auto"/>
      </w:divBdr>
    </w:div>
    <w:div w:id="1080493010">
      <w:bodyDiv w:val="1"/>
      <w:marLeft w:val="0"/>
      <w:marRight w:val="0"/>
      <w:marTop w:val="0"/>
      <w:marBottom w:val="0"/>
      <w:divBdr>
        <w:top w:val="none" w:sz="0" w:space="0" w:color="auto"/>
        <w:left w:val="none" w:sz="0" w:space="0" w:color="auto"/>
        <w:bottom w:val="none" w:sz="0" w:space="0" w:color="auto"/>
        <w:right w:val="none" w:sz="0" w:space="0" w:color="auto"/>
      </w:divBdr>
    </w:div>
    <w:div w:id="1094547463">
      <w:bodyDiv w:val="1"/>
      <w:marLeft w:val="0"/>
      <w:marRight w:val="0"/>
      <w:marTop w:val="0"/>
      <w:marBottom w:val="0"/>
      <w:divBdr>
        <w:top w:val="none" w:sz="0" w:space="0" w:color="auto"/>
        <w:left w:val="none" w:sz="0" w:space="0" w:color="auto"/>
        <w:bottom w:val="none" w:sz="0" w:space="0" w:color="auto"/>
        <w:right w:val="none" w:sz="0" w:space="0" w:color="auto"/>
      </w:divBdr>
    </w:div>
    <w:div w:id="1097094332">
      <w:bodyDiv w:val="1"/>
      <w:marLeft w:val="0"/>
      <w:marRight w:val="0"/>
      <w:marTop w:val="0"/>
      <w:marBottom w:val="0"/>
      <w:divBdr>
        <w:top w:val="none" w:sz="0" w:space="0" w:color="auto"/>
        <w:left w:val="none" w:sz="0" w:space="0" w:color="auto"/>
        <w:bottom w:val="none" w:sz="0" w:space="0" w:color="auto"/>
        <w:right w:val="none" w:sz="0" w:space="0" w:color="auto"/>
      </w:divBdr>
    </w:div>
    <w:div w:id="1112162403">
      <w:bodyDiv w:val="1"/>
      <w:marLeft w:val="0"/>
      <w:marRight w:val="0"/>
      <w:marTop w:val="0"/>
      <w:marBottom w:val="0"/>
      <w:divBdr>
        <w:top w:val="none" w:sz="0" w:space="0" w:color="auto"/>
        <w:left w:val="none" w:sz="0" w:space="0" w:color="auto"/>
        <w:bottom w:val="none" w:sz="0" w:space="0" w:color="auto"/>
        <w:right w:val="none" w:sz="0" w:space="0" w:color="auto"/>
      </w:divBdr>
    </w:div>
    <w:div w:id="1129670380">
      <w:bodyDiv w:val="1"/>
      <w:marLeft w:val="0"/>
      <w:marRight w:val="0"/>
      <w:marTop w:val="0"/>
      <w:marBottom w:val="0"/>
      <w:divBdr>
        <w:top w:val="none" w:sz="0" w:space="0" w:color="auto"/>
        <w:left w:val="none" w:sz="0" w:space="0" w:color="auto"/>
        <w:bottom w:val="none" w:sz="0" w:space="0" w:color="auto"/>
        <w:right w:val="none" w:sz="0" w:space="0" w:color="auto"/>
      </w:divBdr>
    </w:div>
    <w:div w:id="1141458225">
      <w:bodyDiv w:val="1"/>
      <w:marLeft w:val="0"/>
      <w:marRight w:val="0"/>
      <w:marTop w:val="0"/>
      <w:marBottom w:val="0"/>
      <w:divBdr>
        <w:top w:val="none" w:sz="0" w:space="0" w:color="auto"/>
        <w:left w:val="none" w:sz="0" w:space="0" w:color="auto"/>
        <w:bottom w:val="none" w:sz="0" w:space="0" w:color="auto"/>
        <w:right w:val="none" w:sz="0" w:space="0" w:color="auto"/>
      </w:divBdr>
    </w:div>
    <w:div w:id="1155876544">
      <w:bodyDiv w:val="1"/>
      <w:marLeft w:val="0"/>
      <w:marRight w:val="0"/>
      <w:marTop w:val="0"/>
      <w:marBottom w:val="0"/>
      <w:divBdr>
        <w:top w:val="none" w:sz="0" w:space="0" w:color="auto"/>
        <w:left w:val="none" w:sz="0" w:space="0" w:color="auto"/>
        <w:bottom w:val="none" w:sz="0" w:space="0" w:color="auto"/>
        <w:right w:val="none" w:sz="0" w:space="0" w:color="auto"/>
      </w:divBdr>
    </w:div>
    <w:div w:id="1198742692">
      <w:bodyDiv w:val="1"/>
      <w:marLeft w:val="0"/>
      <w:marRight w:val="0"/>
      <w:marTop w:val="0"/>
      <w:marBottom w:val="0"/>
      <w:divBdr>
        <w:top w:val="none" w:sz="0" w:space="0" w:color="auto"/>
        <w:left w:val="none" w:sz="0" w:space="0" w:color="auto"/>
        <w:bottom w:val="none" w:sz="0" w:space="0" w:color="auto"/>
        <w:right w:val="none" w:sz="0" w:space="0" w:color="auto"/>
      </w:divBdr>
    </w:div>
    <w:div w:id="1200974647">
      <w:bodyDiv w:val="1"/>
      <w:marLeft w:val="0"/>
      <w:marRight w:val="0"/>
      <w:marTop w:val="0"/>
      <w:marBottom w:val="0"/>
      <w:divBdr>
        <w:top w:val="none" w:sz="0" w:space="0" w:color="auto"/>
        <w:left w:val="none" w:sz="0" w:space="0" w:color="auto"/>
        <w:bottom w:val="none" w:sz="0" w:space="0" w:color="auto"/>
        <w:right w:val="none" w:sz="0" w:space="0" w:color="auto"/>
      </w:divBdr>
    </w:div>
    <w:div w:id="1223056855">
      <w:bodyDiv w:val="1"/>
      <w:marLeft w:val="0"/>
      <w:marRight w:val="0"/>
      <w:marTop w:val="0"/>
      <w:marBottom w:val="0"/>
      <w:divBdr>
        <w:top w:val="none" w:sz="0" w:space="0" w:color="auto"/>
        <w:left w:val="none" w:sz="0" w:space="0" w:color="auto"/>
        <w:bottom w:val="none" w:sz="0" w:space="0" w:color="auto"/>
        <w:right w:val="none" w:sz="0" w:space="0" w:color="auto"/>
      </w:divBdr>
    </w:div>
    <w:div w:id="1228682221">
      <w:bodyDiv w:val="1"/>
      <w:marLeft w:val="0"/>
      <w:marRight w:val="0"/>
      <w:marTop w:val="0"/>
      <w:marBottom w:val="0"/>
      <w:divBdr>
        <w:top w:val="none" w:sz="0" w:space="0" w:color="auto"/>
        <w:left w:val="none" w:sz="0" w:space="0" w:color="auto"/>
        <w:bottom w:val="none" w:sz="0" w:space="0" w:color="auto"/>
        <w:right w:val="none" w:sz="0" w:space="0" w:color="auto"/>
      </w:divBdr>
    </w:div>
    <w:div w:id="1232278985">
      <w:bodyDiv w:val="1"/>
      <w:marLeft w:val="0"/>
      <w:marRight w:val="0"/>
      <w:marTop w:val="0"/>
      <w:marBottom w:val="0"/>
      <w:divBdr>
        <w:top w:val="none" w:sz="0" w:space="0" w:color="auto"/>
        <w:left w:val="none" w:sz="0" w:space="0" w:color="auto"/>
        <w:bottom w:val="none" w:sz="0" w:space="0" w:color="auto"/>
        <w:right w:val="none" w:sz="0" w:space="0" w:color="auto"/>
      </w:divBdr>
    </w:div>
    <w:div w:id="1249191572">
      <w:bodyDiv w:val="1"/>
      <w:marLeft w:val="0"/>
      <w:marRight w:val="0"/>
      <w:marTop w:val="0"/>
      <w:marBottom w:val="0"/>
      <w:divBdr>
        <w:top w:val="none" w:sz="0" w:space="0" w:color="auto"/>
        <w:left w:val="none" w:sz="0" w:space="0" w:color="auto"/>
        <w:bottom w:val="none" w:sz="0" w:space="0" w:color="auto"/>
        <w:right w:val="none" w:sz="0" w:space="0" w:color="auto"/>
      </w:divBdr>
    </w:div>
    <w:div w:id="1249390651">
      <w:bodyDiv w:val="1"/>
      <w:marLeft w:val="0"/>
      <w:marRight w:val="0"/>
      <w:marTop w:val="0"/>
      <w:marBottom w:val="0"/>
      <w:divBdr>
        <w:top w:val="none" w:sz="0" w:space="0" w:color="auto"/>
        <w:left w:val="none" w:sz="0" w:space="0" w:color="auto"/>
        <w:bottom w:val="none" w:sz="0" w:space="0" w:color="auto"/>
        <w:right w:val="none" w:sz="0" w:space="0" w:color="auto"/>
      </w:divBdr>
    </w:div>
    <w:div w:id="1260287442">
      <w:bodyDiv w:val="1"/>
      <w:marLeft w:val="0"/>
      <w:marRight w:val="0"/>
      <w:marTop w:val="0"/>
      <w:marBottom w:val="0"/>
      <w:divBdr>
        <w:top w:val="none" w:sz="0" w:space="0" w:color="auto"/>
        <w:left w:val="none" w:sz="0" w:space="0" w:color="auto"/>
        <w:bottom w:val="none" w:sz="0" w:space="0" w:color="auto"/>
        <w:right w:val="none" w:sz="0" w:space="0" w:color="auto"/>
      </w:divBdr>
    </w:div>
    <w:div w:id="1262254761">
      <w:bodyDiv w:val="1"/>
      <w:marLeft w:val="0"/>
      <w:marRight w:val="0"/>
      <w:marTop w:val="0"/>
      <w:marBottom w:val="0"/>
      <w:divBdr>
        <w:top w:val="none" w:sz="0" w:space="0" w:color="auto"/>
        <w:left w:val="none" w:sz="0" w:space="0" w:color="auto"/>
        <w:bottom w:val="none" w:sz="0" w:space="0" w:color="auto"/>
        <w:right w:val="none" w:sz="0" w:space="0" w:color="auto"/>
      </w:divBdr>
    </w:div>
    <w:div w:id="1274632756">
      <w:bodyDiv w:val="1"/>
      <w:marLeft w:val="0"/>
      <w:marRight w:val="0"/>
      <w:marTop w:val="0"/>
      <w:marBottom w:val="0"/>
      <w:divBdr>
        <w:top w:val="none" w:sz="0" w:space="0" w:color="auto"/>
        <w:left w:val="none" w:sz="0" w:space="0" w:color="auto"/>
        <w:bottom w:val="none" w:sz="0" w:space="0" w:color="auto"/>
        <w:right w:val="none" w:sz="0" w:space="0" w:color="auto"/>
      </w:divBdr>
    </w:div>
    <w:div w:id="1289238317">
      <w:bodyDiv w:val="1"/>
      <w:marLeft w:val="0"/>
      <w:marRight w:val="0"/>
      <w:marTop w:val="0"/>
      <w:marBottom w:val="0"/>
      <w:divBdr>
        <w:top w:val="none" w:sz="0" w:space="0" w:color="auto"/>
        <w:left w:val="none" w:sz="0" w:space="0" w:color="auto"/>
        <w:bottom w:val="none" w:sz="0" w:space="0" w:color="auto"/>
        <w:right w:val="none" w:sz="0" w:space="0" w:color="auto"/>
      </w:divBdr>
    </w:div>
    <w:div w:id="1336609492">
      <w:bodyDiv w:val="1"/>
      <w:marLeft w:val="0"/>
      <w:marRight w:val="0"/>
      <w:marTop w:val="0"/>
      <w:marBottom w:val="0"/>
      <w:divBdr>
        <w:top w:val="none" w:sz="0" w:space="0" w:color="auto"/>
        <w:left w:val="none" w:sz="0" w:space="0" w:color="auto"/>
        <w:bottom w:val="none" w:sz="0" w:space="0" w:color="auto"/>
        <w:right w:val="none" w:sz="0" w:space="0" w:color="auto"/>
      </w:divBdr>
    </w:div>
    <w:div w:id="1350839522">
      <w:bodyDiv w:val="1"/>
      <w:marLeft w:val="0"/>
      <w:marRight w:val="0"/>
      <w:marTop w:val="0"/>
      <w:marBottom w:val="0"/>
      <w:divBdr>
        <w:top w:val="none" w:sz="0" w:space="0" w:color="auto"/>
        <w:left w:val="none" w:sz="0" w:space="0" w:color="auto"/>
        <w:bottom w:val="none" w:sz="0" w:space="0" w:color="auto"/>
        <w:right w:val="none" w:sz="0" w:space="0" w:color="auto"/>
      </w:divBdr>
    </w:div>
    <w:div w:id="1352343813">
      <w:bodyDiv w:val="1"/>
      <w:marLeft w:val="0"/>
      <w:marRight w:val="0"/>
      <w:marTop w:val="0"/>
      <w:marBottom w:val="0"/>
      <w:divBdr>
        <w:top w:val="none" w:sz="0" w:space="0" w:color="auto"/>
        <w:left w:val="none" w:sz="0" w:space="0" w:color="auto"/>
        <w:bottom w:val="none" w:sz="0" w:space="0" w:color="auto"/>
        <w:right w:val="none" w:sz="0" w:space="0" w:color="auto"/>
      </w:divBdr>
    </w:div>
    <w:div w:id="1374773276">
      <w:bodyDiv w:val="1"/>
      <w:marLeft w:val="0"/>
      <w:marRight w:val="0"/>
      <w:marTop w:val="0"/>
      <w:marBottom w:val="0"/>
      <w:divBdr>
        <w:top w:val="none" w:sz="0" w:space="0" w:color="auto"/>
        <w:left w:val="none" w:sz="0" w:space="0" w:color="auto"/>
        <w:bottom w:val="none" w:sz="0" w:space="0" w:color="auto"/>
        <w:right w:val="none" w:sz="0" w:space="0" w:color="auto"/>
      </w:divBdr>
    </w:div>
    <w:div w:id="1385253473">
      <w:bodyDiv w:val="1"/>
      <w:marLeft w:val="0"/>
      <w:marRight w:val="0"/>
      <w:marTop w:val="0"/>
      <w:marBottom w:val="0"/>
      <w:divBdr>
        <w:top w:val="none" w:sz="0" w:space="0" w:color="auto"/>
        <w:left w:val="none" w:sz="0" w:space="0" w:color="auto"/>
        <w:bottom w:val="none" w:sz="0" w:space="0" w:color="auto"/>
        <w:right w:val="none" w:sz="0" w:space="0" w:color="auto"/>
      </w:divBdr>
    </w:div>
    <w:div w:id="1447584403">
      <w:bodyDiv w:val="1"/>
      <w:marLeft w:val="0"/>
      <w:marRight w:val="0"/>
      <w:marTop w:val="0"/>
      <w:marBottom w:val="0"/>
      <w:divBdr>
        <w:top w:val="none" w:sz="0" w:space="0" w:color="auto"/>
        <w:left w:val="none" w:sz="0" w:space="0" w:color="auto"/>
        <w:bottom w:val="none" w:sz="0" w:space="0" w:color="auto"/>
        <w:right w:val="none" w:sz="0" w:space="0" w:color="auto"/>
      </w:divBdr>
    </w:div>
    <w:div w:id="1488748206">
      <w:bodyDiv w:val="1"/>
      <w:marLeft w:val="0"/>
      <w:marRight w:val="0"/>
      <w:marTop w:val="0"/>
      <w:marBottom w:val="0"/>
      <w:divBdr>
        <w:top w:val="none" w:sz="0" w:space="0" w:color="auto"/>
        <w:left w:val="none" w:sz="0" w:space="0" w:color="auto"/>
        <w:bottom w:val="none" w:sz="0" w:space="0" w:color="auto"/>
        <w:right w:val="none" w:sz="0" w:space="0" w:color="auto"/>
      </w:divBdr>
    </w:div>
    <w:div w:id="1507859627">
      <w:bodyDiv w:val="1"/>
      <w:marLeft w:val="0"/>
      <w:marRight w:val="0"/>
      <w:marTop w:val="0"/>
      <w:marBottom w:val="0"/>
      <w:divBdr>
        <w:top w:val="none" w:sz="0" w:space="0" w:color="auto"/>
        <w:left w:val="none" w:sz="0" w:space="0" w:color="auto"/>
        <w:bottom w:val="none" w:sz="0" w:space="0" w:color="auto"/>
        <w:right w:val="none" w:sz="0" w:space="0" w:color="auto"/>
      </w:divBdr>
    </w:div>
    <w:div w:id="1515263415">
      <w:bodyDiv w:val="1"/>
      <w:marLeft w:val="0"/>
      <w:marRight w:val="0"/>
      <w:marTop w:val="0"/>
      <w:marBottom w:val="0"/>
      <w:divBdr>
        <w:top w:val="none" w:sz="0" w:space="0" w:color="auto"/>
        <w:left w:val="none" w:sz="0" w:space="0" w:color="auto"/>
        <w:bottom w:val="none" w:sz="0" w:space="0" w:color="auto"/>
        <w:right w:val="none" w:sz="0" w:space="0" w:color="auto"/>
      </w:divBdr>
    </w:div>
    <w:div w:id="1518931295">
      <w:bodyDiv w:val="1"/>
      <w:marLeft w:val="0"/>
      <w:marRight w:val="0"/>
      <w:marTop w:val="0"/>
      <w:marBottom w:val="0"/>
      <w:divBdr>
        <w:top w:val="none" w:sz="0" w:space="0" w:color="auto"/>
        <w:left w:val="none" w:sz="0" w:space="0" w:color="auto"/>
        <w:bottom w:val="none" w:sz="0" w:space="0" w:color="auto"/>
        <w:right w:val="none" w:sz="0" w:space="0" w:color="auto"/>
      </w:divBdr>
    </w:div>
    <w:div w:id="1525754570">
      <w:bodyDiv w:val="1"/>
      <w:marLeft w:val="0"/>
      <w:marRight w:val="0"/>
      <w:marTop w:val="0"/>
      <w:marBottom w:val="0"/>
      <w:divBdr>
        <w:top w:val="none" w:sz="0" w:space="0" w:color="auto"/>
        <w:left w:val="none" w:sz="0" w:space="0" w:color="auto"/>
        <w:bottom w:val="none" w:sz="0" w:space="0" w:color="auto"/>
        <w:right w:val="none" w:sz="0" w:space="0" w:color="auto"/>
      </w:divBdr>
    </w:div>
    <w:div w:id="1537043105">
      <w:bodyDiv w:val="1"/>
      <w:marLeft w:val="0"/>
      <w:marRight w:val="0"/>
      <w:marTop w:val="0"/>
      <w:marBottom w:val="0"/>
      <w:divBdr>
        <w:top w:val="none" w:sz="0" w:space="0" w:color="auto"/>
        <w:left w:val="none" w:sz="0" w:space="0" w:color="auto"/>
        <w:bottom w:val="none" w:sz="0" w:space="0" w:color="auto"/>
        <w:right w:val="none" w:sz="0" w:space="0" w:color="auto"/>
      </w:divBdr>
    </w:div>
    <w:div w:id="1557469294">
      <w:bodyDiv w:val="1"/>
      <w:marLeft w:val="0"/>
      <w:marRight w:val="0"/>
      <w:marTop w:val="0"/>
      <w:marBottom w:val="0"/>
      <w:divBdr>
        <w:top w:val="none" w:sz="0" w:space="0" w:color="auto"/>
        <w:left w:val="none" w:sz="0" w:space="0" w:color="auto"/>
        <w:bottom w:val="none" w:sz="0" w:space="0" w:color="auto"/>
        <w:right w:val="none" w:sz="0" w:space="0" w:color="auto"/>
      </w:divBdr>
    </w:div>
    <w:div w:id="1590773544">
      <w:bodyDiv w:val="1"/>
      <w:marLeft w:val="0"/>
      <w:marRight w:val="0"/>
      <w:marTop w:val="0"/>
      <w:marBottom w:val="0"/>
      <w:divBdr>
        <w:top w:val="none" w:sz="0" w:space="0" w:color="auto"/>
        <w:left w:val="none" w:sz="0" w:space="0" w:color="auto"/>
        <w:bottom w:val="none" w:sz="0" w:space="0" w:color="auto"/>
        <w:right w:val="none" w:sz="0" w:space="0" w:color="auto"/>
      </w:divBdr>
    </w:div>
    <w:div w:id="1599176432">
      <w:bodyDiv w:val="1"/>
      <w:marLeft w:val="0"/>
      <w:marRight w:val="0"/>
      <w:marTop w:val="0"/>
      <w:marBottom w:val="0"/>
      <w:divBdr>
        <w:top w:val="none" w:sz="0" w:space="0" w:color="auto"/>
        <w:left w:val="none" w:sz="0" w:space="0" w:color="auto"/>
        <w:bottom w:val="none" w:sz="0" w:space="0" w:color="auto"/>
        <w:right w:val="none" w:sz="0" w:space="0" w:color="auto"/>
      </w:divBdr>
    </w:div>
    <w:div w:id="1605844983">
      <w:bodyDiv w:val="1"/>
      <w:marLeft w:val="0"/>
      <w:marRight w:val="0"/>
      <w:marTop w:val="0"/>
      <w:marBottom w:val="0"/>
      <w:divBdr>
        <w:top w:val="none" w:sz="0" w:space="0" w:color="auto"/>
        <w:left w:val="none" w:sz="0" w:space="0" w:color="auto"/>
        <w:bottom w:val="none" w:sz="0" w:space="0" w:color="auto"/>
        <w:right w:val="none" w:sz="0" w:space="0" w:color="auto"/>
      </w:divBdr>
    </w:div>
    <w:div w:id="1611934797">
      <w:bodyDiv w:val="1"/>
      <w:marLeft w:val="0"/>
      <w:marRight w:val="0"/>
      <w:marTop w:val="0"/>
      <w:marBottom w:val="0"/>
      <w:divBdr>
        <w:top w:val="none" w:sz="0" w:space="0" w:color="auto"/>
        <w:left w:val="none" w:sz="0" w:space="0" w:color="auto"/>
        <w:bottom w:val="none" w:sz="0" w:space="0" w:color="auto"/>
        <w:right w:val="none" w:sz="0" w:space="0" w:color="auto"/>
      </w:divBdr>
    </w:div>
    <w:div w:id="1622759556">
      <w:bodyDiv w:val="1"/>
      <w:marLeft w:val="0"/>
      <w:marRight w:val="0"/>
      <w:marTop w:val="0"/>
      <w:marBottom w:val="0"/>
      <w:divBdr>
        <w:top w:val="none" w:sz="0" w:space="0" w:color="auto"/>
        <w:left w:val="none" w:sz="0" w:space="0" w:color="auto"/>
        <w:bottom w:val="none" w:sz="0" w:space="0" w:color="auto"/>
        <w:right w:val="none" w:sz="0" w:space="0" w:color="auto"/>
      </w:divBdr>
    </w:div>
    <w:div w:id="1712344936">
      <w:bodyDiv w:val="1"/>
      <w:marLeft w:val="0"/>
      <w:marRight w:val="0"/>
      <w:marTop w:val="0"/>
      <w:marBottom w:val="0"/>
      <w:divBdr>
        <w:top w:val="none" w:sz="0" w:space="0" w:color="auto"/>
        <w:left w:val="none" w:sz="0" w:space="0" w:color="auto"/>
        <w:bottom w:val="none" w:sz="0" w:space="0" w:color="auto"/>
        <w:right w:val="none" w:sz="0" w:space="0" w:color="auto"/>
      </w:divBdr>
    </w:div>
    <w:div w:id="1742210193">
      <w:bodyDiv w:val="1"/>
      <w:marLeft w:val="0"/>
      <w:marRight w:val="0"/>
      <w:marTop w:val="0"/>
      <w:marBottom w:val="0"/>
      <w:divBdr>
        <w:top w:val="none" w:sz="0" w:space="0" w:color="auto"/>
        <w:left w:val="none" w:sz="0" w:space="0" w:color="auto"/>
        <w:bottom w:val="none" w:sz="0" w:space="0" w:color="auto"/>
        <w:right w:val="none" w:sz="0" w:space="0" w:color="auto"/>
      </w:divBdr>
    </w:div>
    <w:div w:id="1786000822">
      <w:bodyDiv w:val="1"/>
      <w:marLeft w:val="0"/>
      <w:marRight w:val="0"/>
      <w:marTop w:val="0"/>
      <w:marBottom w:val="0"/>
      <w:divBdr>
        <w:top w:val="none" w:sz="0" w:space="0" w:color="auto"/>
        <w:left w:val="none" w:sz="0" w:space="0" w:color="auto"/>
        <w:bottom w:val="none" w:sz="0" w:space="0" w:color="auto"/>
        <w:right w:val="none" w:sz="0" w:space="0" w:color="auto"/>
      </w:divBdr>
    </w:div>
    <w:div w:id="1811825399">
      <w:bodyDiv w:val="1"/>
      <w:marLeft w:val="0"/>
      <w:marRight w:val="0"/>
      <w:marTop w:val="0"/>
      <w:marBottom w:val="0"/>
      <w:divBdr>
        <w:top w:val="none" w:sz="0" w:space="0" w:color="auto"/>
        <w:left w:val="none" w:sz="0" w:space="0" w:color="auto"/>
        <w:bottom w:val="none" w:sz="0" w:space="0" w:color="auto"/>
        <w:right w:val="none" w:sz="0" w:space="0" w:color="auto"/>
      </w:divBdr>
    </w:div>
    <w:div w:id="1849713499">
      <w:bodyDiv w:val="1"/>
      <w:marLeft w:val="0"/>
      <w:marRight w:val="0"/>
      <w:marTop w:val="0"/>
      <w:marBottom w:val="0"/>
      <w:divBdr>
        <w:top w:val="none" w:sz="0" w:space="0" w:color="auto"/>
        <w:left w:val="none" w:sz="0" w:space="0" w:color="auto"/>
        <w:bottom w:val="none" w:sz="0" w:space="0" w:color="auto"/>
        <w:right w:val="none" w:sz="0" w:space="0" w:color="auto"/>
      </w:divBdr>
    </w:div>
    <w:div w:id="1858158114">
      <w:bodyDiv w:val="1"/>
      <w:marLeft w:val="0"/>
      <w:marRight w:val="0"/>
      <w:marTop w:val="0"/>
      <w:marBottom w:val="0"/>
      <w:divBdr>
        <w:top w:val="none" w:sz="0" w:space="0" w:color="auto"/>
        <w:left w:val="none" w:sz="0" w:space="0" w:color="auto"/>
        <w:bottom w:val="none" w:sz="0" w:space="0" w:color="auto"/>
        <w:right w:val="none" w:sz="0" w:space="0" w:color="auto"/>
      </w:divBdr>
    </w:div>
    <w:div w:id="1861314305">
      <w:bodyDiv w:val="1"/>
      <w:marLeft w:val="0"/>
      <w:marRight w:val="0"/>
      <w:marTop w:val="0"/>
      <w:marBottom w:val="0"/>
      <w:divBdr>
        <w:top w:val="none" w:sz="0" w:space="0" w:color="auto"/>
        <w:left w:val="none" w:sz="0" w:space="0" w:color="auto"/>
        <w:bottom w:val="none" w:sz="0" w:space="0" w:color="auto"/>
        <w:right w:val="none" w:sz="0" w:space="0" w:color="auto"/>
      </w:divBdr>
    </w:div>
    <w:div w:id="1881938306">
      <w:bodyDiv w:val="1"/>
      <w:marLeft w:val="0"/>
      <w:marRight w:val="0"/>
      <w:marTop w:val="0"/>
      <w:marBottom w:val="0"/>
      <w:divBdr>
        <w:top w:val="none" w:sz="0" w:space="0" w:color="auto"/>
        <w:left w:val="none" w:sz="0" w:space="0" w:color="auto"/>
        <w:bottom w:val="none" w:sz="0" w:space="0" w:color="auto"/>
        <w:right w:val="none" w:sz="0" w:space="0" w:color="auto"/>
      </w:divBdr>
    </w:div>
    <w:div w:id="1932469571">
      <w:bodyDiv w:val="1"/>
      <w:marLeft w:val="0"/>
      <w:marRight w:val="0"/>
      <w:marTop w:val="0"/>
      <w:marBottom w:val="0"/>
      <w:divBdr>
        <w:top w:val="none" w:sz="0" w:space="0" w:color="auto"/>
        <w:left w:val="none" w:sz="0" w:space="0" w:color="auto"/>
        <w:bottom w:val="none" w:sz="0" w:space="0" w:color="auto"/>
        <w:right w:val="none" w:sz="0" w:space="0" w:color="auto"/>
      </w:divBdr>
    </w:div>
    <w:div w:id="1946380493">
      <w:bodyDiv w:val="1"/>
      <w:marLeft w:val="0"/>
      <w:marRight w:val="0"/>
      <w:marTop w:val="0"/>
      <w:marBottom w:val="0"/>
      <w:divBdr>
        <w:top w:val="none" w:sz="0" w:space="0" w:color="auto"/>
        <w:left w:val="none" w:sz="0" w:space="0" w:color="auto"/>
        <w:bottom w:val="none" w:sz="0" w:space="0" w:color="auto"/>
        <w:right w:val="none" w:sz="0" w:space="0" w:color="auto"/>
      </w:divBdr>
    </w:div>
    <w:div w:id="1958288302">
      <w:bodyDiv w:val="1"/>
      <w:marLeft w:val="0"/>
      <w:marRight w:val="0"/>
      <w:marTop w:val="0"/>
      <w:marBottom w:val="0"/>
      <w:divBdr>
        <w:top w:val="none" w:sz="0" w:space="0" w:color="auto"/>
        <w:left w:val="none" w:sz="0" w:space="0" w:color="auto"/>
        <w:bottom w:val="none" w:sz="0" w:space="0" w:color="auto"/>
        <w:right w:val="none" w:sz="0" w:space="0" w:color="auto"/>
      </w:divBdr>
    </w:div>
    <w:div w:id="1964456751">
      <w:bodyDiv w:val="1"/>
      <w:marLeft w:val="0"/>
      <w:marRight w:val="0"/>
      <w:marTop w:val="0"/>
      <w:marBottom w:val="0"/>
      <w:divBdr>
        <w:top w:val="none" w:sz="0" w:space="0" w:color="auto"/>
        <w:left w:val="none" w:sz="0" w:space="0" w:color="auto"/>
        <w:bottom w:val="none" w:sz="0" w:space="0" w:color="auto"/>
        <w:right w:val="none" w:sz="0" w:space="0" w:color="auto"/>
      </w:divBdr>
    </w:div>
    <w:div w:id="1997686908">
      <w:bodyDiv w:val="1"/>
      <w:marLeft w:val="0"/>
      <w:marRight w:val="0"/>
      <w:marTop w:val="0"/>
      <w:marBottom w:val="0"/>
      <w:divBdr>
        <w:top w:val="none" w:sz="0" w:space="0" w:color="auto"/>
        <w:left w:val="none" w:sz="0" w:space="0" w:color="auto"/>
        <w:bottom w:val="none" w:sz="0" w:space="0" w:color="auto"/>
        <w:right w:val="none" w:sz="0" w:space="0" w:color="auto"/>
      </w:divBdr>
    </w:div>
    <w:div w:id="2007397466">
      <w:bodyDiv w:val="1"/>
      <w:marLeft w:val="0"/>
      <w:marRight w:val="0"/>
      <w:marTop w:val="0"/>
      <w:marBottom w:val="0"/>
      <w:divBdr>
        <w:top w:val="none" w:sz="0" w:space="0" w:color="auto"/>
        <w:left w:val="none" w:sz="0" w:space="0" w:color="auto"/>
        <w:bottom w:val="none" w:sz="0" w:space="0" w:color="auto"/>
        <w:right w:val="none" w:sz="0" w:space="0" w:color="auto"/>
      </w:divBdr>
    </w:div>
    <w:div w:id="2012566684">
      <w:bodyDiv w:val="1"/>
      <w:marLeft w:val="0"/>
      <w:marRight w:val="0"/>
      <w:marTop w:val="0"/>
      <w:marBottom w:val="0"/>
      <w:divBdr>
        <w:top w:val="none" w:sz="0" w:space="0" w:color="auto"/>
        <w:left w:val="none" w:sz="0" w:space="0" w:color="auto"/>
        <w:bottom w:val="none" w:sz="0" w:space="0" w:color="auto"/>
        <w:right w:val="none" w:sz="0" w:space="0" w:color="auto"/>
      </w:divBdr>
    </w:div>
    <w:div w:id="2035575367">
      <w:bodyDiv w:val="1"/>
      <w:marLeft w:val="0"/>
      <w:marRight w:val="0"/>
      <w:marTop w:val="0"/>
      <w:marBottom w:val="0"/>
      <w:divBdr>
        <w:top w:val="none" w:sz="0" w:space="0" w:color="auto"/>
        <w:left w:val="none" w:sz="0" w:space="0" w:color="auto"/>
        <w:bottom w:val="none" w:sz="0" w:space="0" w:color="auto"/>
        <w:right w:val="none" w:sz="0" w:space="0" w:color="auto"/>
      </w:divBdr>
    </w:div>
    <w:div w:id="2037537087">
      <w:bodyDiv w:val="1"/>
      <w:marLeft w:val="0"/>
      <w:marRight w:val="0"/>
      <w:marTop w:val="0"/>
      <w:marBottom w:val="0"/>
      <w:divBdr>
        <w:top w:val="none" w:sz="0" w:space="0" w:color="auto"/>
        <w:left w:val="none" w:sz="0" w:space="0" w:color="auto"/>
        <w:bottom w:val="none" w:sz="0" w:space="0" w:color="auto"/>
        <w:right w:val="none" w:sz="0" w:space="0" w:color="auto"/>
      </w:divBdr>
    </w:div>
    <w:div w:id="2037727692">
      <w:bodyDiv w:val="1"/>
      <w:marLeft w:val="0"/>
      <w:marRight w:val="0"/>
      <w:marTop w:val="0"/>
      <w:marBottom w:val="0"/>
      <w:divBdr>
        <w:top w:val="none" w:sz="0" w:space="0" w:color="auto"/>
        <w:left w:val="none" w:sz="0" w:space="0" w:color="auto"/>
        <w:bottom w:val="none" w:sz="0" w:space="0" w:color="auto"/>
        <w:right w:val="none" w:sz="0" w:space="0" w:color="auto"/>
      </w:divBdr>
    </w:div>
    <w:div w:id="2044405006">
      <w:bodyDiv w:val="1"/>
      <w:marLeft w:val="0"/>
      <w:marRight w:val="0"/>
      <w:marTop w:val="0"/>
      <w:marBottom w:val="0"/>
      <w:divBdr>
        <w:top w:val="none" w:sz="0" w:space="0" w:color="auto"/>
        <w:left w:val="none" w:sz="0" w:space="0" w:color="auto"/>
        <w:bottom w:val="none" w:sz="0" w:space="0" w:color="auto"/>
        <w:right w:val="none" w:sz="0" w:space="0" w:color="auto"/>
      </w:divBdr>
    </w:div>
    <w:div w:id="2083984642">
      <w:bodyDiv w:val="1"/>
      <w:marLeft w:val="0"/>
      <w:marRight w:val="0"/>
      <w:marTop w:val="0"/>
      <w:marBottom w:val="0"/>
      <w:divBdr>
        <w:top w:val="none" w:sz="0" w:space="0" w:color="auto"/>
        <w:left w:val="none" w:sz="0" w:space="0" w:color="auto"/>
        <w:bottom w:val="none" w:sz="0" w:space="0" w:color="auto"/>
        <w:right w:val="none" w:sz="0" w:space="0" w:color="auto"/>
      </w:divBdr>
    </w:div>
    <w:div w:id="2101022950">
      <w:bodyDiv w:val="1"/>
      <w:marLeft w:val="0"/>
      <w:marRight w:val="0"/>
      <w:marTop w:val="0"/>
      <w:marBottom w:val="0"/>
      <w:divBdr>
        <w:top w:val="none" w:sz="0" w:space="0" w:color="auto"/>
        <w:left w:val="none" w:sz="0" w:space="0" w:color="auto"/>
        <w:bottom w:val="none" w:sz="0" w:space="0" w:color="auto"/>
        <w:right w:val="none" w:sz="0" w:space="0" w:color="auto"/>
      </w:divBdr>
    </w:div>
    <w:div w:id="2103258016">
      <w:bodyDiv w:val="1"/>
      <w:marLeft w:val="0"/>
      <w:marRight w:val="0"/>
      <w:marTop w:val="0"/>
      <w:marBottom w:val="0"/>
      <w:divBdr>
        <w:top w:val="none" w:sz="0" w:space="0" w:color="auto"/>
        <w:left w:val="none" w:sz="0" w:space="0" w:color="auto"/>
        <w:bottom w:val="none" w:sz="0" w:space="0" w:color="auto"/>
        <w:right w:val="none" w:sz="0" w:space="0" w:color="auto"/>
      </w:divBdr>
    </w:div>
    <w:div w:id="2126000773">
      <w:bodyDiv w:val="1"/>
      <w:marLeft w:val="0"/>
      <w:marRight w:val="0"/>
      <w:marTop w:val="0"/>
      <w:marBottom w:val="0"/>
      <w:divBdr>
        <w:top w:val="none" w:sz="0" w:space="0" w:color="auto"/>
        <w:left w:val="none" w:sz="0" w:space="0" w:color="auto"/>
        <w:bottom w:val="none" w:sz="0" w:space="0" w:color="auto"/>
        <w:right w:val="none" w:sz="0" w:space="0" w:color="auto"/>
      </w:divBdr>
    </w:div>
    <w:div w:id="2126654675">
      <w:bodyDiv w:val="1"/>
      <w:marLeft w:val="0"/>
      <w:marRight w:val="0"/>
      <w:marTop w:val="0"/>
      <w:marBottom w:val="0"/>
      <w:divBdr>
        <w:top w:val="none" w:sz="0" w:space="0" w:color="auto"/>
        <w:left w:val="none" w:sz="0" w:space="0" w:color="auto"/>
        <w:bottom w:val="none" w:sz="0" w:space="0" w:color="auto"/>
        <w:right w:val="none" w:sz="0" w:space="0" w:color="auto"/>
      </w:divBdr>
    </w:div>
    <w:div w:id="2131898410">
      <w:bodyDiv w:val="1"/>
      <w:marLeft w:val="0"/>
      <w:marRight w:val="0"/>
      <w:marTop w:val="0"/>
      <w:marBottom w:val="0"/>
      <w:divBdr>
        <w:top w:val="none" w:sz="0" w:space="0" w:color="auto"/>
        <w:left w:val="none" w:sz="0" w:space="0" w:color="auto"/>
        <w:bottom w:val="none" w:sz="0" w:space="0" w:color="auto"/>
        <w:right w:val="none" w:sz="0" w:space="0" w:color="auto"/>
      </w:divBdr>
    </w:div>
    <w:div w:id="2136752845">
      <w:bodyDiv w:val="1"/>
      <w:marLeft w:val="0"/>
      <w:marRight w:val="0"/>
      <w:marTop w:val="0"/>
      <w:marBottom w:val="0"/>
      <w:divBdr>
        <w:top w:val="none" w:sz="0" w:space="0" w:color="auto"/>
        <w:left w:val="none" w:sz="0" w:space="0" w:color="auto"/>
        <w:bottom w:val="none" w:sz="0" w:space="0" w:color="auto"/>
        <w:right w:val="none" w:sz="0" w:space="0" w:color="auto"/>
      </w:divBdr>
    </w:div>
    <w:div w:id="2137329409">
      <w:bodyDiv w:val="1"/>
      <w:marLeft w:val="0"/>
      <w:marRight w:val="0"/>
      <w:marTop w:val="0"/>
      <w:marBottom w:val="0"/>
      <w:divBdr>
        <w:top w:val="none" w:sz="0" w:space="0" w:color="auto"/>
        <w:left w:val="none" w:sz="0" w:space="0" w:color="auto"/>
        <w:bottom w:val="none" w:sz="0" w:space="0" w:color="auto"/>
        <w:right w:val="none" w:sz="0" w:space="0" w:color="auto"/>
      </w:divBdr>
    </w:div>
    <w:div w:id="2138064590">
      <w:bodyDiv w:val="1"/>
      <w:marLeft w:val="0"/>
      <w:marRight w:val="0"/>
      <w:marTop w:val="0"/>
      <w:marBottom w:val="0"/>
      <w:divBdr>
        <w:top w:val="none" w:sz="0" w:space="0" w:color="auto"/>
        <w:left w:val="none" w:sz="0" w:space="0" w:color="auto"/>
        <w:bottom w:val="none" w:sz="0" w:space="0" w:color="auto"/>
        <w:right w:val="none" w:sz="0" w:space="0" w:color="auto"/>
      </w:divBdr>
    </w:div>
    <w:div w:id="21402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73DF-1299-40E9-8A81-FA0D9914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10565</Words>
  <Characters>58108</Characters>
  <Application>Microsoft Office Word</Application>
  <DocSecurity>0</DocSecurity>
  <Lines>484</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Soufiane Kadari</dc:creator>
  <cp:keywords/>
  <dc:description/>
  <cp:lastModifiedBy>Soufiane Kadari</cp:lastModifiedBy>
  <cp:revision>3</cp:revision>
  <dcterms:created xsi:type="dcterms:W3CDTF">2025-05-12T08:43:00Z</dcterms:created>
  <dcterms:modified xsi:type="dcterms:W3CDTF">2025-05-12T08:44:00Z</dcterms:modified>
</cp:coreProperties>
</file>